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41" w:rsidRPr="00BF3D9A" w:rsidRDefault="00B8781E" w:rsidP="00BF3D9A">
      <w:pPr>
        <w:jc w:val="center"/>
        <w:rPr>
          <w:b/>
          <w:sz w:val="28"/>
          <w:szCs w:val="28"/>
        </w:rPr>
      </w:pPr>
      <w:bookmarkStart w:id="0" w:name="_GoBack"/>
      <w:bookmarkEnd w:id="0"/>
      <w:r w:rsidRPr="00BF3D9A">
        <w:rPr>
          <w:b/>
          <w:sz w:val="28"/>
          <w:szCs w:val="28"/>
        </w:rPr>
        <w:t>Standards’ Crosswalk</w:t>
      </w:r>
      <w:r w:rsidR="00BF3D9A" w:rsidRPr="00BF3D9A">
        <w:rPr>
          <w:b/>
          <w:sz w:val="28"/>
          <w:szCs w:val="28"/>
        </w:rPr>
        <w:t xml:space="preserve"> with WriteToLearn™</w:t>
      </w:r>
    </w:p>
    <w:tbl>
      <w:tblPr>
        <w:tblStyle w:val="TableGrid"/>
        <w:tblW w:w="11520" w:type="dxa"/>
        <w:tblInd w:w="-455" w:type="dxa"/>
        <w:tblLook w:val="04A0" w:firstRow="1" w:lastRow="0" w:firstColumn="1" w:lastColumn="0" w:noHBand="0" w:noVBand="1"/>
      </w:tblPr>
      <w:tblGrid>
        <w:gridCol w:w="1350"/>
        <w:gridCol w:w="3028"/>
        <w:gridCol w:w="4802"/>
        <w:gridCol w:w="2340"/>
      </w:tblGrid>
      <w:tr w:rsidR="00FB672B" w:rsidRPr="009A7A7C" w:rsidTr="00FB672B">
        <w:tc>
          <w:tcPr>
            <w:tcW w:w="1350" w:type="dxa"/>
          </w:tcPr>
          <w:p w:rsidR="00FB672B" w:rsidRPr="00BF3D9A" w:rsidRDefault="00FB672B">
            <w:pPr>
              <w:rPr>
                <w:b/>
                <w:sz w:val="20"/>
                <w:szCs w:val="20"/>
              </w:rPr>
            </w:pPr>
            <w:r w:rsidRPr="00BF3D9A">
              <w:rPr>
                <w:b/>
                <w:sz w:val="20"/>
                <w:szCs w:val="20"/>
              </w:rPr>
              <w:t>Standards Topics</w:t>
            </w:r>
          </w:p>
        </w:tc>
        <w:tc>
          <w:tcPr>
            <w:tcW w:w="3028" w:type="dxa"/>
          </w:tcPr>
          <w:p w:rsidR="00FB672B" w:rsidRPr="009A7A7C" w:rsidRDefault="00FB672B" w:rsidP="009A7A7C">
            <w:pPr>
              <w:jc w:val="center"/>
              <w:rPr>
                <w:b/>
                <w:sz w:val="20"/>
                <w:szCs w:val="20"/>
              </w:rPr>
            </w:pPr>
            <w:r>
              <w:rPr>
                <w:b/>
                <w:sz w:val="20"/>
                <w:szCs w:val="20"/>
              </w:rPr>
              <w:t xml:space="preserve">Iowa Core </w:t>
            </w:r>
            <w:r w:rsidRPr="009A7A7C">
              <w:rPr>
                <w:b/>
                <w:sz w:val="20"/>
                <w:szCs w:val="20"/>
              </w:rPr>
              <w:t>Standard</w:t>
            </w:r>
            <w:r>
              <w:rPr>
                <w:b/>
                <w:sz w:val="20"/>
                <w:szCs w:val="20"/>
              </w:rPr>
              <w:t>s</w:t>
            </w:r>
          </w:p>
        </w:tc>
        <w:tc>
          <w:tcPr>
            <w:tcW w:w="4802" w:type="dxa"/>
          </w:tcPr>
          <w:p w:rsidR="00FB672B" w:rsidRPr="009A7A7C" w:rsidRDefault="00FB672B" w:rsidP="009A7A7C">
            <w:pPr>
              <w:jc w:val="center"/>
              <w:rPr>
                <w:b/>
                <w:sz w:val="20"/>
                <w:szCs w:val="20"/>
              </w:rPr>
            </w:pPr>
            <w:r w:rsidRPr="009A7A7C">
              <w:rPr>
                <w:b/>
                <w:sz w:val="20"/>
                <w:szCs w:val="20"/>
              </w:rPr>
              <w:t>WriteToLearn™</w:t>
            </w:r>
          </w:p>
        </w:tc>
        <w:tc>
          <w:tcPr>
            <w:tcW w:w="2340" w:type="dxa"/>
          </w:tcPr>
          <w:p w:rsidR="00FB672B" w:rsidRPr="00FB672B" w:rsidRDefault="00FB672B" w:rsidP="00FB672B">
            <w:pPr>
              <w:jc w:val="center"/>
              <w:rPr>
                <w:b/>
                <w:sz w:val="20"/>
                <w:szCs w:val="20"/>
              </w:rPr>
            </w:pPr>
            <w:r>
              <w:rPr>
                <w:b/>
                <w:sz w:val="20"/>
                <w:szCs w:val="20"/>
              </w:rPr>
              <w:t>CCR-5 (</w:t>
            </w:r>
            <w:proofErr w:type="spellStart"/>
            <w:r>
              <w:rPr>
                <w:b/>
                <w:sz w:val="20"/>
                <w:szCs w:val="20"/>
              </w:rPr>
              <w:t>WriteToLearn</w:t>
            </w:r>
            <w:r>
              <w:rPr>
                <w:b/>
                <w:sz w:val="20"/>
                <w:szCs w:val="20"/>
                <w:vertAlign w:val="superscript"/>
              </w:rPr>
              <w:t>TM</w:t>
            </w:r>
            <w:proofErr w:type="spellEnd"/>
            <w:r>
              <w:rPr>
                <w:b/>
                <w:sz w:val="20"/>
                <w:szCs w:val="20"/>
              </w:rPr>
              <w:t xml:space="preserve"> </w:t>
            </w:r>
            <w:r>
              <w:rPr>
                <w:b/>
                <w:sz w:val="20"/>
                <w:szCs w:val="20"/>
              </w:rPr>
              <w:br/>
              <w:t>writing rubric)</w:t>
            </w:r>
          </w:p>
        </w:tc>
      </w:tr>
      <w:tr w:rsidR="00FB672B" w:rsidRPr="009A7A7C" w:rsidTr="00FB672B">
        <w:tc>
          <w:tcPr>
            <w:tcW w:w="1350" w:type="dxa"/>
            <w:vMerge w:val="restart"/>
          </w:tcPr>
          <w:p w:rsidR="00FB672B" w:rsidRPr="009A7A7C" w:rsidRDefault="00FB672B">
            <w:pPr>
              <w:rPr>
                <w:rFonts w:cs="Arial"/>
                <w:b/>
                <w:color w:val="6D6E71"/>
                <w:sz w:val="20"/>
                <w:szCs w:val="20"/>
                <w:shd w:val="clear" w:color="auto" w:fill="FFFFFF"/>
              </w:rPr>
            </w:pPr>
            <w:r w:rsidRPr="009A7A7C">
              <w:rPr>
                <w:rFonts w:cs="Arial"/>
                <w:b/>
                <w:color w:val="6D6E71"/>
                <w:sz w:val="20"/>
                <w:szCs w:val="20"/>
                <w:shd w:val="clear" w:color="auto" w:fill="FFFFFF"/>
              </w:rPr>
              <w:t>Text Types</w:t>
            </w:r>
          </w:p>
        </w:tc>
        <w:tc>
          <w:tcPr>
            <w:tcW w:w="3028" w:type="dxa"/>
          </w:tcPr>
          <w:p w:rsidR="00FB672B" w:rsidRPr="009A7A7C" w:rsidRDefault="00FB672B">
            <w:pPr>
              <w:rPr>
                <w:sz w:val="20"/>
                <w:szCs w:val="20"/>
              </w:rPr>
            </w:pPr>
            <w:r>
              <w:rPr>
                <w:rFonts w:cs="Arial"/>
                <w:color w:val="6D6E71"/>
                <w:sz w:val="20"/>
                <w:szCs w:val="20"/>
                <w:shd w:val="clear" w:color="auto" w:fill="FFFFFF"/>
              </w:rPr>
              <w:t xml:space="preserve">W.1 </w:t>
            </w:r>
            <w:r w:rsidRPr="009A7A7C">
              <w:rPr>
                <w:rFonts w:cs="Arial"/>
                <w:color w:val="6D6E71"/>
                <w:sz w:val="20"/>
                <w:szCs w:val="20"/>
                <w:shd w:val="clear" w:color="auto" w:fill="FFFFFF"/>
              </w:rPr>
              <w:t>Write arguments to support claims in an analysis of substantive topics or texts, using valid reasoning and relevant and sufficient evidence.</w:t>
            </w:r>
          </w:p>
        </w:tc>
        <w:tc>
          <w:tcPr>
            <w:tcW w:w="4802" w:type="dxa"/>
            <w:vMerge w:val="restart"/>
          </w:tcPr>
          <w:p w:rsidR="00FB672B" w:rsidRPr="009A7A7C" w:rsidRDefault="00FB672B" w:rsidP="009A7A7C">
            <w:pPr>
              <w:pStyle w:val="NoSpacing"/>
              <w:rPr>
                <w:sz w:val="20"/>
                <w:szCs w:val="20"/>
              </w:rPr>
            </w:pPr>
            <w:r w:rsidRPr="009A7A7C">
              <w:rPr>
                <w:sz w:val="20"/>
                <w:szCs w:val="20"/>
              </w:rPr>
              <w:t>WriteToLearn™ offers writing activities in all three text types, specific to each grade level’s expectations: argumentative, informative/explanatory, and narrative for students in grades 4-12. While this RFP asks only for content in grades 6-12, users would also have access to prompts beginning at the 4</w:t>
            </w:r>
            <w:r w:rsidRPr="009A7A7C">
              <w:rPr>
                <w:sz w:val="20"/>
                <w:szCs w:val="20"/>
                <w:vertAlign w:val="superscript"/>
              </w:rPr>
              <w:t>th</w:t>
            </w:r>
            <w:r w:rsidRPr="009A7A7C">
              <w:rPr>
                <w:sz w:val="20"/>
                <w:szCs w:val="20"/>
              </w:rPr>
              <w:t xml:space="preserve"> grade level, enhancing the teacher’s ability to address learning needs across the spectrum of student writers being served. </w:t>
            </w:r>
          </w:p>
          <w:p w:rsidR="00FB672B" w:rsidRPr="009A7A7C" w:rsidRDefault="00FB672B" w:rsidP="009A7A7C">
            <w:pPr>
              <w:pStyle w:val="NoSpacing"/>
              <w:rPr>
                <w:sz w:val="20"/>
                <w:szCs w:val="20"/>
              </w:rPr>
            </w:pPr>
          </w:p>
          <w:p w:rsidR="00FB672B" w:rsidRPr="009A7A7C" w:rsidRDefault="00FB672B" w:rsidP="009A7A7C">
            <w:pPr>
              <w:pStyle w:val="NoSpacing"/>
              <w:rPr>
                <w:sz w:val="20"/>
                <w:szCs w:val="20"/>
              </w:rPr>
            </w:pPr>
            <w:r w:rsidRPr="009A7A7C">
              <w:rPr>
                <w:sz w:val="20"/>
                <w:szCs w:val="20"/>
              </w:rPr>
              <w:t>The essay prompts and scoring integrate the elements of each text type into the prompt.  Here is an example of a 9</w:t>
            </w:r>
            <w:r w:rsidRPr="009A7A7C">
              <w:rPr>
                <w:sz w:val="20"/>
                <w:szCs w:val="20"/>
                <w:vertAlign w:val="superscript"/>
              </w:rPr>
              <w:t>th</w:t>
            </w:r>
            <w:r w:rsidRPr="009A7A7C">
              <w:rPr>
                <w:sz w:val="20"/>
                <w:szCs w:val="20"/>
              </w:rPr>
              <w:t xml:space="preserve"> grade argumentative prompt. Notice the prompt language asks students for valid reasons and evidence from the text to support their opinion. </w:t>
            </w:r>
          </w:p>
          <w:p w:rsidR="00FB672B" w:rsidRPr="009A7A7C" w:rsidRDefault="00FB672B" w:rsidP="009A7A7C">
            <w:pPr>
              <w:pStyle w:val="NoSpacing"/>
              <w:ind w:left="720"/>
              <w:rPr>
                <w:i/>
                <w:color w:val="333333"/>
                <w:sz w:val="20"/>
                <w:szCs w:val="20"/>
              </w:rPr>
            </w:pPr>
            <w:r w:rsidRPr="009A7A7C">
              <w:rPr>
                <w:sz w:val="20"/>
                <w:szCs w:val="20"/>
              </w:rPr>
              <w:br/>
            </w:r>
            <w:r w:rsidRPr="009A7A7C">
              <w:rPr>
                <w:b/>
                <w:bCs/>
                <w:i/>
                <w:color w:val="333333"/>
                <w:sz w:val="20"/>
                <w:szCs w:val="20"/>
              </w:rPr>
              <w:t>The Perils of Indifference -- Do You Agree or Disagree with Elie Wiesel? - CCR 5</w:t>
            </w:r>
          </w:p>
          <w:p w:rsidR="00FB672B" w:rsidRPr="009A7A7C" w:rsidRDefault="00FB672B" w:rsidP="009A7A7C">
            <w:pPr>
              <w:pStyle w:val="NoSpacing"/>
              <w:ind w:left="720"/>
              <w:rPr>
                <w:i/>
                <w:color w:val="333333"/>
                <w:sz w:val="20"/>
                <w:szCs w:val="20"/>
              </w:rPr>
            </w:pPr>
            <w:r w:rsidRPr="009A7A7C">
              <w:rPr>
                <w:i/>
                <w:color w:val="333333"/>
                <w:sz w:val="20"/>
                <w:szCs w:val="20"/>
              </w:rPr>
              <w:t>Elie Wiesel, a Holocaust survivor, gave a speech entitled</w:t>
            </w:r>
            <w:r w:rsidRPr="009A7A7C">
              <w:rPr>
                <w:rStyle w:val="apple-converted-space"/>
                <w:i/>
                <w:color w:val="333333"/>
                <w:sz w:val="20"/>
                <w:szCs w:val="20"/>
              </w:rPr>
              <w:t> </w:t>
            </w:r>
            <w:hyperlink r:id="rId5" w:tgtFrame="WTLPromptReading" w:history="1">
              <w:r w:rsidRPr="009A7A7C">
                <w:rPr>
                  <w:rStyle w:val="Hyperlink"/>
                  <w:i/>
                  <w:color w:val="007DB1"/>
                  <w:sz w:val="20"/>
                  <w:szCs w:val="20"/>
                </w:rPr>
                <w:t>The Perils of Indifference</w:t>
              </w:r>
            </w:hyperlink>
            <w:r w:rsidRPr="009A7A7C">
              <w:rPr>
                <w:rStyle w:val="Hyperlink"/>
                <w:i/>
                <w:color w:val="007DB1"/>
                <w:sz w:val="20"/>
                <w:szCs w:val="20"/>
                <w:u w:val="none"/>
              </w:rPr>
              <w:t xml:space="preserve"> </w:t>
            </w:r>
            <w:r w:rsidRPr="009A7A7C">
              <w:rPr>
                <w:rStyle w:val="Hyperlink"/>
                <w:i/>
                <w:color w:val="auto"/>
                <w:sz w:val="20"/>
                <w:szCs w:val="20"/>
                <w:u w:val="none"/>
              </w:rPr>
              <w:t>(</w:t>
            </w:r>
            <w:r w:rsidRPr="009A7A7C">
              <w:rPr>
                <w:i/>
                <w:color w:val="333333"/>
                <w:sz w:val="20"/>
                <w:szCs w:val="20"/>
              </w:rPr>
              <w:t>a link to this essay included) in April of 1999. Click the link and read the text of the speech. Write an essay in which you agree or disagree with Elie Wiesel's position on indifference. Provide valid reasons and cite relevant evidence from the text to support your argument.</w:t>
            </w:r>
          </w:p>
          <w:p w:rsidR="00FB672B" w:rsidRPr="009A7A7C" w:rsidRDefault="00FB672B">
            <w:pPr>
              <w:rPr>
                <w:sz w:val="20"/>
                <w:szCs w:val="20"/>
              </w:rPr>
            </w:pPr>
          </w:p>
        </w:tc>
        <w:tc>
          <w:tcPr>
            <w:tcW w:w="2340" w:type="dxa"/>
          </w:tcPr>
          <w:p w:rsidR="00FB672B" w:rsidRPr="009A7A7C" w:rsidRDefault="00FB672B" w:rsidP="009A7A7C">
            <w:pPr>
              <w:pStyle w:val="NoSpacing"/>
              <w:rPr>
                <w:sz w:val="20"/>
                <w:szCs w:val="20"/>
              </w:rPr>
            </w:pPr>
            <w:r>
              <w:rPr>
                <w:sz w:val="20"/>
                <w:szCs w:val="20"/>
              </w:rPr>
              <w:t>Task and Focus</w:t>
            </w:r>
            <w:r w:rsidR="0000158A">
              <w:rPr>
                <w:sz w:val="20"/>
                <w:szCs w:val="20"/>
              </w:rPr>
              <w:br/>
              <w:t>Development of Ideas</w:t>
            </w:r>
          </w:p>
        </w:tc>
      </w:tr>
      <w:tr w:rsidR="00FB672B" w:rsidRPr="009A7A7C" w:rsidTr="00FB672B">
        <w:tc>
          <w:tcPr>
            <w:tcW w:w="1350" w:type="dxa"/>
            <w:vMerge/>
          </w:tcPr>
          <w:p w:rsidR="00FB672B" w:rsidRPr="009A7A7C" w:rsidRDefault="00FB672B">
            <w:pPr>
              <w:rPr>
                <w:rFonts w:cs="Arial"/>
                <w:color w:val="6D6E71"/>
                <w:sz w:val="20"/>
                <w:szCs w:val="20"/>
                <w:shd w:val="clear" w:color="auto" w:fill="FFFFFF"/>
              </w:rPr>
            </w:pPr>
          </w:p>
        </w:tc>
        <w:tc>
          <w:tcPr>
            <w:tcW w:w="3028" w:type="dxa"/>
          </w:tcPr>
          <w:p w:rsidR="00FB672B" w:rsidRPr="009A7A7C" w:rsidRDefault="00FB672B">
            <w:pPr>
              <w:rPr>
                <w:sz w:val="20"/>
                <w:szCs w:val="20"/>
              </w:rPr>
            </w:pPr>
            <w:r>
              <w:rPr>
                <w:rFonts w:cs="Arial"/>
                <w:color w:val="6D6E71"/>
                <w:sz w:val="20"/>
                <w:szCs w:val="20"/>
                <w:shd w:val="clear" w:color="auto" w:fill="FFFFFF"/>
              </w:rPr>
              <w:t xml:space="preserve">W.2 </w:t>
            </w:r>
            <w:r w:rsidRPr="009A7A7C">
              <w:rPr>
                <w:rFonts w:cs="Arial"/>
                <w:color w:val="6D6E71"/>
                <w:sz w:val="20"/>
                <w:szCs w:val="20"/>
                <w:shd w:val="clear" w:color="auto" w:fill="FFFFFF"/>
              </w:rPr>
              <w:t>Write informative/explanatory texts to examine and convey complex ideas, concepts, and information clearly and accurately through the effective selection, organization, and analysis of content.</w:t>
            </w:r>
          </w:p>
        </w:tc>
        <w:tc>
          <w:tcPr>
            <w:tcW w:w="4802" w:type="dxa"/>
            <w:vMerge/>
          </w:tcPr>
          <w:p w:rsidR="00FB672B" w:rsidRPr="009A7A7C" w:rsidRDefault="00FB672B">
            <w:pPr>
              <w:rPr>
                <w:sz w:val="20"/>
                <w:szCs w:val="20"/>
              </w:rPr>
            </w:pPr>
          </w:p>
        </w:tc>
        <w:tc>
          <w:tcPr>
            <w:tcW w:w="2340" w:type="dxa"/>
          </w:tcPr>
          <w:p w:rsidR="00FB672B" w:rsidRPr="009A7A7C" w:rsidRDefault="00FB672B">
            <w:pPr>
              <w:rPr>
                <w:sz w:val="20"/>
                <w:szCs w:val="20"/>
              </w:rPr>
            </w:pPr>
            <w:r>
              <w:rPr>
                <w:sz w:val="20"/>
                <w:szCs w:val="20"/>
              </w:rPr>
              <w:t>Task and Focus</w:t>
            </w:r>
            <w:r>
              <w:rPr>
                <w:sz w:val="20"/>
                <w:szCs w:val="20"/>
              </w:rPr>
              <w:br/>
              <w:t>Organization</w:t>
            </w:r>
          </w:p>
        </w:tc>
      </w:tr>
      <w:tr w:rsidR="00FB672B" w:rsidRPr="009A7A7C" w:rsidTr="00FB672B">
        <w:tc>
          <w:tcPr>
            <w:tcW w:w="1350" w:type="dxa"/>
            <w:vMerge/>
          </w:tcPr>
          <w:p w:rsidR="00FB672B" w:rsidRPr="009A7A7C" w:rsidRDefault="00FB672B">
            <w:pPr>
              <w:rPr>
                <w:rFonts w:cs="Arial"/>
                <w:color w:val="6D6E71"/>
                <w:sz w:val="20"/>
                <w:szCs w:val="20"/>
                <w:shd w:val="clear" w:color="auto" w:fill="FFFFFF"/>
              </w:rPr>
            </w:pPr>
          </w:p>
        </w:tc>
        <w:tc>
          <w:tcPr>
            <w:tcW w:w="3028" w:type="dxa"/>
          </w:tcPr>
          <w:p w:rsidR="00FB672B" w:rsidRPr="009A7A7C" w:rsidRDefault="00FB672B">
            <w:pPr>
              <w:rPr>
                <w:sz w:val="20"/>
                <w:szCs w:val="20"/>
              </w:rPr>
            </w:pPr>
            <w:r>
              <w:rPr>
                <w:rFonts w:cs="Arial"/>
                <w:color w:val="6D6E71"/>
                <w:sz w:val="20"/>
                <w:szCs w:val="20"/>
                <w:shd w:val="clear" w:color="auto" w:fill="FFFFFF"/>
              </w:rPr>
              <w:t xml:space="preserve">W.3 </w:t>
            </w:r>
            <w:r w:rsidRPr="009A7A7C">
              <w:rPr>
                <w:rFonts w:cs="Arial"/>
                <w:color w:val="6D6E71"/>
                <w:sz w:val="20"/>
                <w:szCs w:val="20"/>
                <w:shd w:val="clear" w:color="auto" w:fill="FFFFFF"/>
              </w:rPr>
              <w:t>Write narratives to develop real or imagined experiences or events using effective technique, well–chosen details, and well–structured event sequences.</w:t>
            </w:r>
          </w:p>
        </w:tc>
        <w:tc>
          <w:tcPr>
            <w:tcW w:w="4802" w:type="dxa"/>
            <w:vMerge/>
          </w:tcPr>
          <w:p w:rsidR="00FB672B" w:rsidRPr="009A7A7C" w:rsidRDefault="00FB672B">
            <w:pPr>
              <w:rPr>
                <w:sz w:val="20"/>
                <w:szCs w:val="20"/>
              </w:rPr>
            </w:pPr>
          </w:p>
        </w:tc>
        <w:tc>
          <w:tcPr>
            <w:tcW w:w="2340" w:type="dxa"/>
          </w:tcPr>
          <w:p w:rsidR="00FB672B" w:rsidRPr="009A7A7C" w:rsidRDefault="00FB672B">
            <w:pPr>
              <w:rPr>
                <w:sz w:val="20"/>
                <w:szCs w:val="20"/>
              </w:rPr>
            </w:pPr>
            <w:r>
              <w:rPr>
                <w:sz w:val="20"/>
                <w:szCs w:val="20"/>
              </w:rPr>
              <w:t>Organization</w:t>
            </w:r>
            <w:r>
              <w:rPr>
                <w:sz w:val="20"/>
                <w:szCs w:val="20"/>
              </w:rPr>
              <w:br/>
              <w:t>Language and Style</w:t>
            </w:r>
          </w:p>
        </w:tc>
      </w:tr>
      <w:tr w:rsidR="00FB672B" w:rsidRPr="009A7A7C" w:rsidTr="00FB672B">
        <w:tc>
          <w:tcPr>
            <w:tcW w:w="1350" w:type="dxa"/>
            <w:vMerge w:val="restart"/>
          </w:tcPr>
          <w:p w:rsidR="00FB672B" w:rsidRPr="009A7A7C" w:rsidRDefault="00FB672B">
            <w:pPr>
              <w:rPr>
                <w:sz w:val="20"/>
                <w:szCs w:val="20"/>
              </w:rPr>
            </w:pPr>
            <w:r w:rsidRPr="009A7A7C">
              <w:rPr>
                <w:sz w:val="20"/>
                <w:szCs w:val="20"/>
              </w:rPr>
              <w:t>Production and Distribution of Writing</w:t>
            </w:r>
          </w:p>
        </w:tc>
        <w:tc>
          <w:tcPr>
            <w:tcW w:w="3028" w:type="dxa"/>
          </w:tcPr>
          <w:p w:rsidR="00FB672B" w:rsidRPr="009A7A7C" w:rsidRDefault="00FB672B">
            <w:pPr>
              <w:rPr>
                <w:sz w:val="20"/>
                <w:szCs w:val="20"/>
              </w:rPr>
            </w:pPr>
            <w:r>
              <w:rPr>
                <w:rFonts w:cs="Arial"/>
                <w:color w:val="6D6E71"/>
                <w:sz w:val="20"/>
                <w:szCs w:val="20"/>
                <w:shd w:val="clear" w:color="auto" w:fill="FFFFFF"/>
              </w:rPr>
              <w:t xml:space="preserve">W.4 </w:t>
            </w:r>
            <w:r w:rsidRPr="009A7A7C">
              <w:rPr>
                <w:rFonts w:cs="Arial"/>
                <w:color w:val="6D6E71"/>
                <w:sz w:val="20"/>
                <w:szCs w:val="20"/>
                <w:shd w:val="clear" w:color="auto" w:fill="FFFFFF"/>
              </w:rPr>
              <w:t>Produce clear and coherent writing in which the development, organization, and style are appropriate to task, purpose, and audience.</w:t>
            </w:r>
          </w:p>
        </w:tc>
        <w:tc>
          <w:tcPr>
            <w:tcW w:w="4802" w:type="dxa"/>
            <w:vMerge w:val="restart"/>
          </w:tcPr>
          <w:p w:rsidR="00FB672B" w:rsidRPr="009A7A7C" w:rsidRDefault="00FB672B" w:rsidP="009A7A7C">
            <w:pPr>
              <w:rPr>
                <w:rFonts w:cs="Arial"/>
                <w:sz w:val="20"/>
                <w:szCs w:val="20"/>
                <w:shd w:val="clear" w:color="auto" w:fill="FFFFFF"/>
              </w:rPr>
            </w:pPr>
            <w:r w:rsidRPr="009A7A7C">
              <w:rPr>
                <w:rFonts w:cs="Arial"/>
                <w:sz w:val="20"/>
                <w:szCs w:val="20"/>
                <w:shd w:val="clear" w:color="auto" w:fill="FFFFFF"/>
              </w:rPr>
              <w:t>WriteToLearn™ prompts provide clear direction from the beginning of the essay process</w:t>
            </w:r>
            <w:r>
              <w:rPr>
                <w:rFonts w:cs="Arial"/>
                <w:sz w:val="20"/>
                <w:szCs w:val="20"/>
                <w:shd w:val="clear" w:color="auto" w:fill="FFFFFF"/>
              </w:rPr>
              <w:t xml:space="preserve"> with clearly written prompts that assist</w:t>
            </w:r>
            <w:r w:rsidRPr="009A7A7C">
              <w:rPr>
                <w:rFonts w:cs="Arial"/>
                <w:sz w:val="20"/>
                <w:szCs w:val="20"/>
                <w:shd w:val="clear" w:color="auto" w:fill="FFFFFF"/>
              </w:rPr>
              <w:t xml:space="preserve"> students and teachers in considering the task, purpose, and audience for the writing activity. </w:t>
            </w:r>
          </w:p>
          <w:p w:rsidR="00FB672B" w:rsidRDefault="00FB672B" w:rsidP="009A7A7C">
            <w:pPr>
              <w:rPr>
                <w:rFonts w:cs="Arial"/>
                <w:sz w:val="20"/>
                <w:szCs w:val="20"/>
                <w:shd w:val="clear" w:color="auto" w:fill="FFFFFF"/>
              </w:rPr>
            </w:pPr>
          </w:p>
          <w:p w:rsidR="00FB672B" w:rsidRPr="009A7A7C" w:rsidRDefault="00FB672B" w:rsidP="009A7A7C">
            <w:pPr>
              <w:rPr>
                <w:rFonts w:cs="Arial"/>
                <w:sz w:val="20"/>
                <w:szCs w:val="20"/>
                <w:shd w:val="clear" w:color="auto" w:fill="FFFFFF"/>
              </w:rPr>
            </w:pPr>
            <w:r>
              <w:rPr>
                <w:rFonts w:cs="Arial"/>
                <w:sz w:val="20"/>
                <w:szCs w:val="20"/>
                <w:shd w:val="clear" w:color="auto" w:fill="FFFFFF"/>
              </w:rPr>
              <w:t>The planning phase of the writing is addressed through graphic organizers and materials that support teachers in preparing students to write.</w:t>
            </w:r>
          </w:p>
          <w:p w:rsidR="00FB672B" w:rsidRPr="009A7A7C" w:rsidRDefault="00FB672B" w:rsidP="009A7A7C">
            <w:pPr>
              <w:rPr>
                <w:rFonts w:cs="Arial"/>
                <w:sz w:val="20"/>
                <w:szCs w:val="20"/>
                <w:shd w:val="clear" w:color="auto" w:fill="FFFFFF"/>
              </w:rPr>
            </w:pPr>
            <w:r w:rsidRPr="009A7A7C">
              <w:rPr>
                <w:rFonts w:cs="Arial"/>
                <w:sz w:val="20"/>
                <w:szCs w:val="20"/>
                <w:shd w:val="clear" w:color="auto" w:fill="FFFFFF"/>
              </w:rPr>
              <w:t xml:space="preserve">The scoring of the essays offers information and feedback to students and teachers to support the development, organization, and style of each student’s writing. </w:t>
            </w:r>
            <w:r>
              <w:rPr>
                <w:rFonts w:cs="Arial"/>
                <w:sz w:val="20"/>
                <w:szCs w:val="20"/>
                <w:shd w:val="clear" w:color="auto" w:fill="FFFFFF"/>
              </w:rPr>
              <w:t>This instant feedback encourages and guides the writing of the students and the instruction of the teachers.</w:t>
            </w:r>
          </w:p>
          <w:p w:rsidR="00FB672B" w:rsidRPr="009A7A7C" w:rsidRDefault="00FB672B" w:rsidP="009A7A7C">
            <w:pPr>
              <w:rPr>
                <w:rFonts w:cs="Arial"/>
                <w:sz w:val="20"/>
                <w:szCs w:val="20"/>
                <w:shd w:val="clear" w:color="auto" w:fill="FFFFFF"/>
              </w:rPr>
            </w:pPr>
          </w:p>
          <w:p w:rsidR="00FB672B" w:rsidRPr="009A7A7C" w:rsidRDefault="00FB672B" w:rsidP="009A7A7C">
            <w:pPr>
              <w:rPr>
                <w:rFonts w:cs="Arial"/>
                <w:sz w:val="20"/>
                <w:szCs w:val="20"/>
                <w:shd w:val="clear" w:color="auto" w:fill="FFFFFF"/>
              </w:rPr>
            </w:pPr>
            <w:r w:rsidRPr="009A7A7C">
              <w:rPr>
                <w:rFonts w:cs="Arial"/>
                <w:sz w:val="20"/>
                <w:szCs w:val="20"/>
                <w:shd w:val="clear" w:color="auto" w:fill="FFFFFF"/>
              </w:rPr>
              <w:t xml:space="preserve">While WriteToLearn™ provides the ability for students revise, edit, and rewrite individually, it is also easy to export student work in and out of the program, so that students can easily collaborate and share their work for peer editing or export it to other programs and formats for other purposes. </w:t>
            </w:r>
          </w:p>
          <w:p w:rsidR="00FB672B" w:rsidRPr="009A7A7C" w:rsidRDefault="00FB672B">
            <w:pPr>
              <w:rPr>
                <w:sz w:val="20"/>
                <w:szCs w:val="20"/>
              </w:rPr>
            </w:pPr>
          </w:p>
        </w:tc>
        <w:tc>
          <w:tcPr>
            <w:tcW w:w="2340" w:type="dxa"/>
          </w:tcPr>
          <w:p w:rsidR="00FB672B" w:rsidRPr="009A7A7C" w:rsidRDefault="00FB672B" w:rsidP="009A7A7C">
            <w:pPr>
              <w:rPr>
                <w:rFonts w:cs="Arial"/>
                <w:sz w:val="20"/>
                <w:szCs w:val="20"/>
                <w:shd w:val="clear" w:color="auto" w:fill="FFFFFF"/>
              </w:rPr>
            </w:pPr>
            <w:r>
              <w:rPr>
                <w:rFonts w:cs="Arial"/>
                <w:sz w:val="20"/>
                <w:szCs w:val="20"/>
                <w:shd w:val="clear" w:color="auto" w:fill="FFFFFF"/>
              </w:rPr>
              <w:t>Task and Focus</w:t>
            </w:r>
            <w:r>
              <w:rPr>
                <w:rFonts w:cs="Arial"/>
                <w:sz w:val="20"/>
                <w:szCs w:val="20"/>
                <w:shd w:val="clear" w:color="auto" w:fill="FFFFFF"/>
              </w:rPr>
              <w:br/>
              <w:t>Organization</w:t>
            </w:r>
          </w:p>
        </w:tc>
      </w:tr>
      <w:tr w:rsidR="00FB672B" w:rsidRPr="009A7A7C" w:rsidTr="00FB672B">
        <w:tc>
          <w:tcPr>
            <w:tcW w:w="1350" w:type="dxa"/>
            <w:vMerge/>
          </w:tcPr>
          <w:p w:rsidR="00FB672B" w:rsidRPr="009A7A7C" w:rsidRDefault="00FB672B">
            <w:pPr>
              <w:rPr>
                <w:sz w:val="20"/>
                <w:szCs w:val="20"/>
              </w:rPr>
            </w:pPr>
          </w:p>
        </w:tc>
        <w:tc>
          <w:tcPr>
            <w:tcW w:w="3028" w:type="dxa"/>
          </w:tcPr>
          <w:p w:rsidR="00FB672B" w:rsidRPr="009A7A7C" w:rsidRDefault="00FB672B">
            <w:pPr>
              <w:rPr>
                <w:sz w:val="20"/>
                <w:szCs w:val="20"/>
              </w:rPr>
            </w:pPr>
            <w:r>
              <w:rPr>
                <w:rFonts w:cs="Arial"/>
                <w:color w:val="6D6E71"/>
                <w:sz w:val="20"/>
                <w:szCs w:val="20"/>
                <w:shd w:val="clear" w:color="auto" w:fill="FFFFFF"/>
              </w:rPr>
              <w:t xml:space="preserve">W.5 </w:t>
            </w:r>
            <w:r w:rsidRPr="009A7A7C">
              <w:rPr>
                <w:rFonts w:cs="Arial"/>
                <w:color w:val="6D6E71"/>
                <w:sz w:val="20"/>
                <w:szCs w:val="20"/>
                <w:shd w:val="clear" w:color="auto" w:fill="FFFFFF"/>
              </w:rPr>
              <w:t>Develop and strengthen writing as needed by planning, revising, editing, rewriting, or trying a new approach, focusing on addressing what is most significant for a specific purpose and audience.</w:t>
            </w:r>
            <w:r w:rsidRPr="009A7A7C">
              <w:rPr>
                <w:rStyle w:val="apple-converted-space"/>
                <w:rFonts w:cs="Arial"/>
                <w:color w:val="6D6E71"/>
                <w:sz w:val="20"/>
                <w:szCs w:val="20"/>
                <w:shd w:val="clear" w:color="auto" w:fill="FFFFFF"/>
              </w:rPr>
              <w:t> </w:t>
            </w:r>
          </w:p>
        </w:tc>
        <w:tc>
          <w:tcPr>
            <w:tcW w:w="4802" w:type="dxa"/>
            <w:vMerge/>
          </w:tcPr>
          <w:p w:rsidR="00FB672B" w:rsidRPr="009A7A7C" w:rsidRDefault="00FB672B">
            <w:pPr>
              <w:rPr>
                <w:sz w:val="20"/>
                <w:szCs w:val="20"/>
              </w:rPr>
            </w:pPr>
          </w:p>
        </w:tc>
        <w:tc>
          <w:tcPr>
            <w:tcW w:w="2340" w:type="dxa"/>
          </w:tcPr>
          <w:p w:rsidR="00FB672B" w:rsidRPr="009A7A7C" w:rsidRDefault="00FB672B">
            <w:pPr>
              <w:rPr>
                <w:sz w:val="20"/>
                <w:szCs w:val="20"/>
              </w:rPr>
            </w:pPr>
            <w:r>
              <w:rPr>
                <w:sz w:val="20"/>
                <w:szCs w:val="20"/>
              </w:rPr>
              <w:t>Language and Style</w:t>
            </w:r>
            <w:r>
              <w:rPr>
                <w:sz w:val="20"/>
                <w:szCs w:val="20"/>
              </w:rPr>
              <w:br/>
              <w:t>Conventions</w:t>
            </w:r>
          </w:p>
        </w:tc>
      </w:tr>
      <w:tr w:rsidR="00FB672B" w:rsidRPr="009A7A7C" w:rsidTr="00FB672B">
        <w:tc>
          <w:tcPr>
            <w:tcW w:w="1350" w:type="dxa"/>
            <w:vMerge/>
          </w:tcPr>
          <w:p w:rsidR="00FB672B" w:rsidRPr="009A7A7C" w:rsidRDefault="00FB672B">
            <w:pPr>
              <w:rPr>
                <w:sz w:val="20"/>
                <w:szCs w:val="20"/>
              </w:rPr>
            </w:pPr>
          </w:p>
        </w:tc>
        <w:tc>
          <w:tcPr>
            <w:tcW w:w="3028" w:type="dxa"/>
          </w:tcPr>
          <w:p w:rsidR="00FB672B" w:rsidRPr="009A7A7C" w:rsidRDefault="00FB672B">
            <w:pPr>
              <w:rPr>
                <w:sz w:val="20"/>
                <w:szCs w:val="20"/>
              </w:rPr>
            </w:pPr>
            <w:r>
              <w:rPr>
                <w:rFonts w:cs="Arial"/>
                <w:color w:val="6D6E71"/>
                <w:sz w:val="20"/>
                <w:szCs w:val="20"/>
                <w:shd w:val="clear" w:color="auto" w:fill="FFFFFF"/>
              </w:rPr>
              <w:t xml:space="preserve">W. 6 </w:t>
            </w:r>
            <w:r w:rsidRPr="009A7A7C">
              <w:rPr>
                <w:rFonts w:cs="Arial"/>
                <w:color w:val="6D6E71"/>
                <w:sz w:val="20"/>
                <w:szCs w:val="20"/>
                <w:shd w:val="clear" w:color="auto" w:fill="FFFFFF"/>
              </w:rPr>
              <w:t>Use technology, including the Internet, to produce, publish, and update individual or shared writing products in response to ongoing feedback, including new arguments or information.</w:t>
            </w:r>
          </w:p>
        </w:tc>
        <w:tc>
          <w:tcPr>
            <w:tcW w:w="4802" w:type="dxa"/>
            <w:vMerge/>
          </w:tcPr>
          <w:p w:rsidR="00FB672B" w:rsidRPr="009A7A7C" w:rsidRDefault="00FB672B">
            <w:pPr>
              <w:rPr>
                <w:sz w:val="20"/>
                <w:szCs w:val="20"/>
              </w:rPr>
            </w:pPr>
          </w:p>
        </w:tc>
        <w:tc>
          <w:tcPr>
            <w:tcW w:w="2340" w:type="dxa"/>
          </w:tcPr>
          <w:p w:rsidR="00FB672B" w:rsidRPr="009A7A7C" w:rsidRDefault="00FB672B">
            <w:pPr>
              <w:rPr>
                <w:sz w:val="20"/>
                <w:szCs w:val="20"/>
              </w:rPr>
            </w:pPr>
          </w:p>
        </w:tc>
      </w:tr>
    </w:tbl>
    <w:p w:rsidR="00BF3D9A" w:rsidRDefault="00BF3D9A">
      <w:r>
        <w:br w:type="page"/>
      </w:r>
    </w:p>
    <w:tbl>
      <w:tblPr>
        <w:tblStyle w:val="TableGrid"/>
        <w:tblW w:w="0" w:type="auto"/>
        <w:tblLook w:val="04A0" w:firstRow="1" w:lastRow="0" w:firstColumn="1" w:lastColumn="0" w:noHBand="0" w:noVBand="1"/>
      </w:tblPr>
      <w:tblGrid>
        <w:gridCol w:w="1435"/>
        <w:gridCol w:w="3780"/>
        <w:gridCol w:w="5040"/>
      </w:tblGrid>
      <w:tr w:rsidR="002713BB" w:rsidRPr="009A7A7C" w:rsidTr="00BF3D9A">
        <w:tc>
          <w:tcPr>
            <w:tcW w:w="1435" w:type="dxa"/>
            <w:vMerge w:val="restart"/>
          </w:tcPr>
          <w:p w:rsidR="002713BB" w:rsidRPr="009A7A7C" w:rsidRDefault="002713BB">
            <w:pPr>
              <w:rPr>
                <w:sz w:val="20"/>
                <w:szCs w:val="20"/>
              </w:rPr>
            </w:pPr>
            <w:r w:rsidRPr="009A7A7C">
              <w:rPr>
                <w:sz w:val="20"/>
                <w:szCs w:val="20"/>
              </w:rPr>
              <w:lastRenderedPageBreak/>
              <w:t>Research to Build and Present Knowledge</w:t>
            </w:r>
          </w:p>
        </w:tc>
        <w:tc>
          <w:tcPr>
            <w:tcW w:w="3780" w:type="dxa"/>
          </w:tcPr>
          <w:p w:rsidR="002713BB" w:rsidRPr="009A7A7C" w:rsidRDefault="00FB672B">
            <w:pPr>
              <w:rPr>
                <w:sz w:val="20"/>
                <w:szCs w:val="20"/>
              </w:rPr>
            </w:pPr>
            <w:r>
              <w:rPr>
                <w:rFonts w:cs="Arial"/>
                <w:sz w:val="20"/>
                <w:szCs w:val="20"/>
                <w:shd w:val="clear" w:color="auto" w:fill="FFFFFF"/>
              </w:rPr>
              <w:t xml:space="preserve">W.7 </w:t>
            </w:r>
            <w:r w:rsidR="002713BB" w:rsidRPr="002713BB">
              <w:rPr>
                <w:rFonts w:cs="Arial"/>
                <w:sz w:val="20"/>
                <w:szCs w:val="20"/>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5040" w:type="dxa"/>
            <w:vMerge w:val="restart"/>
          </w:tcPr>
          <w:p w:rsidR="002713BB" w:rsidRDefault="002713BB" w:rsidP="002713BB">
            <w:pPr>
              <w:rPr>
                <w:rFonts w:cs="Arial"/>
                <w:sz w:val="20"/>
                <w:szCs w:val="20"/>
                <w:shd w:val="clear" w:color="auto" w:fill="FFFFFF"/>
              </w:rPr>
            </w:pPr>
            <w:r w:rsidRPr="002713BB">
              <w:rPr>
                <w:rFonts w:cs="Arial"/>
                <w:sz w:val="20"/>
                <w:szCs w:val="20"/>
                <w:shd w:val="clear" w:color="auto" w:fill="FFFFFF"/>
              </w:rPr>
              <w:t>Extensive writing, which is what WriteToLearn™ encourages, builds content and metacognitive reflection on the learning process (</w:t>
            </w:r>
            <w:hyperlink r:id="rId6" w:history="1">
              <w:r w:rsidRPr="002713BB">
                <w:rPr>
                  <w:rStyle w:val="Hyperlink"/>
                  <w:rFonts w:cs="Arial"/>
                  <w:sz w:val="20"/>
                  <w:szCs w:val="20"/>
                  <w:shd w:val="clear" w:color="auto" w:fill="FFFFFF"/>
                </w:rPr>
                <w:t>Center on English Learning and Achievement</w:t>
              </w:r>
            </w:hyperlink>
            <w:r w:rsidRPr="002713BB">
              <w:rPr>
                <w:rFonts w:cs="Arial"/>
                <w:sz w:val="20"/>
                <w:szCs w:val="20"/>
                <w:shd w:val="clear" w:color="auto" w:fill="FFFFFF"/>
              </w:rPr>
              <w:t>). Prompts in WriteToLearn™ consistently ask students to support their text and opinions with evidence. As students write extensively, as encouraged through WriteToLearn™, they must continue to explore information and ideas to build their own content knowledge and represent that in their writing.</w:t>
            </w:r>
          </w:p>
          <w:p w:rsidR="002713BB" w:rsidRPr="002713BB" w:rsidRDefault="002713BB" w:rsidP="002713BB">
            <w:pPr>
              <w:rPr>
                <w:rFonts w:cs="Arial"/>
                <w:sz w:val="20"/>
                <w:szCs w:val="20"/>
                <w:shd w:val="clear" w:color="auto" w:fill="FFFFFF"/>
              </w:rPr>
            </w:pPr>
          </w:p>
          <w:p w:rsidR="002713BB" w:rsidRDefault="002713BB" w:rsidP="002713BB">
            <w:pPr>
              <w:rPr>
                <w:rFonts w:cs="Arial"/>
                <w:sz w:val="20"/>
                <w:szCs w:val="20"/>
                <w:shd w:val="clear" w:color="auto" w:fill="FFFFFF"/>
              </w:rPr>
            </w:pPr>
            <w:r w:rsidRPr="002713BB">
              <w:rPr>
                <w:rFonts w:cs="Arial"/>
                <w:sz w:val="20"/>
                <w:szCs w:val="20"/>
                <w:shd w:val="clear" w:color="auto" w:fill="FFFFFF"/>
              </w:rPr>
              <w:t xml:space="preserve">Teachers are also provided with information about their responsibility in providing instruction in writing. WriteToLearn™ encourages teachers to consider whether students have enough background knowledge to begin a writing task and if not, the writing task must be proceeded by activities that build appropriate knowledge to begin a task. </w:t>
            </w:r>
          </w:p>
          <w:p w:rsidR="002713BB" w:rsidRPr="002713BB" w:rsidRDefault="002713BB" w:rsidP="002713BB">
            <w:pPr>
              <w:rPr>
                <w:rFonts w:cs="Arial"/>
                <w:sz w:val="20"/>
                <w:szCs w:val="20"/>
                <w:shd w:val="clear" w:color="auto" w:fill="FFFFFF"/>
              </w:rPr>
            </w:pPr>
          </w:p>
          <w:p w:rsidR="002713BB" w:rsidRDefault="002713BB" w:rsidP="002713BB">
            <w:pPr>
              <w:rPr>
                <w:rFonts w:cs="Arial"/>
                <w:sz w:val="20"/>
                <w:szCs w:val="20"/>
                <w:shd w:val="clear" w:color="auto" w:fill="FFFFFF"/>
              </w:rPr>
            </w:pPr>
            <w:r w:rsidRPr="002713BB">
              <w:rPr>
                <w:rFonts w:cs="Arial"/>
                <w:sz w:val="20"/>
                <w:szCs w:val="20"/>
                <w:shd w:val="clear" w:color="auto" w:fill="FFFFFF"/>
              </w:rPr>
              <w:t xml:space="preserve">Some WriteToLearn™ prompts include links to web-based content students must read and consider before writing to the specific prompt. Teachers can also include links to web-based information they want students to consider before writing in prompts that are teacher authored. Many prompts ask students to provide evidence to support their opinions, which invites research and investigation. WriteToLearn™ also includes functionality for students to cite sources. </w:t>
            </w:r>
          </w:p>
          <w:p w:rsidR="002713BB" w:rsidRPr="002713BB" w:rsidRDefault="002713BB" w:rsidP="002713BB">
            <w:pPr>
              <w:rPr>
                <w:rFonts w:cs="Arial"/>
                <w:sz w:val="20"/>
                <w:szCs w:val="20"/>
                <w:shd w:val="clear" w:color="auto" w:fill="FFFFFF"/>
              </w:rPr>
            </w:pPr>
          </w:p>
          <w:p w:rsidR="002713BB" w:rsidRPr="002713BB" w:rsidRDefault="002713BB" w:rsidP="002713BB">
            <w:pPr>
              <w:rPr>
                <w:rFonts w:cs="Arial"/>
                <w:sz w:val="20"/>
                <w:szCs w:val="20"/>
                <w:shd w:val="clear" w:color="auto" w:fill="FFFFFF"/>
              </w:rPr>
            </w:pPr>
            <w:r w:rsidRPr="002713BB">
              <w:rPr>
                <w:rFonts w:cs="Arial"/>
                <w:sz w:val="20"/>
                <w:szCs w:val="20"/>
                <w:shd w:val="clear" w:color="auto" w:fill="FFFFFF"/>
              </w:rPr>
              <w:t>Summary writing and reading comprehension go hand-in-hand. As students summarize the extensive content provided in the WriteToLearn™, their content knowledge grows. Summary activities provided include content from social studies and science, as well as English Language Arts.</w:t>
            </w:r>
          </w:p>
          <w:p w:rsidR="002713BB" w:rsidRPr="009A7A7C" w:rsidRDefault="002713BB">
            <w:pPr>
              <w:rPr>
                <w:sz w:val="20"/>
                <w:szCs w:val="20"/>
              </w:rPr>
            </w:pPr>
          </w:p>
        </w:tc>
      </w:tr>
      <w:tr w:rsidR="002713BB" w:rsidRPr="009A7A7C" w:rsidTr="00BF3D9A">
        <w:tc>
          <w:tcPr>
            <w:tcW w:w="1435" w:type="dxa"/>
            <w:vMerge/>
          </w:tcPr>
          <w:p w:rsidR="002713BB" w:rsidRPr="009A7A7C" w:rsidRDefault="002713BB">
            <w:pPr>
              <w:rPr>
                <w:sz w:val="20"/>
                <w:szCs w:val="20"/>
              </w:rPr>
            </w:pPr>
          </w:p>
        </w:tc>
        <w:tc>
          <w:tcPr>
            <w:tcW w:w="3780" w:type="dxa"/>
          </w:tcPr>
          <w:p w:rsidR="002713BB" w:rsidRPr="002713BB" w:rsidRDefault="00FB672B" w:rsidP="002713BB">
            <w:pPr>
              <w:pStyle w:val="NoSpacing"/>
              <w:rPr>
                <w:sz w:val="20"/>
                <w:szCs w:val="20"/>
              </w:rPr>
            </w:pPr>
            <w:r>
              <w:rPr>
                <w:sz w:val="20"/>
                <w:szCs w:val="20"/>
              </w:rPr>
              <w:t xml:space="preserve">W.8 </w:t>
            </w:r>
            <w:r w:rsidR="002713BB" w:rsidRPr="002713BB">
              <w:rPr>
                <w:sz w:val="20"/>
                <w:szCs w:val="20"/>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c>
          <w:tcPr>
            <w:tcW w:w="5040" w:type="dxa"/>
            <w:vMerge/>
          </w:tcPr>
          <w:p w:rsidR="002713BB" w:rsidRPr="009A7A7C" w:rsidRDefault="002713BB">
            <w:pPr>
              <w:rPr>
                <w:sz w:val="20"/>
                <w:szCs w:val="20"/>
              </w:rPr>
            </w:pPr>
          </w:p>
        </w:tc>
      </w:tr>
      <w:tr w:rsidR="002713BB" w:rsidRPr="009A7A7C" w:rsidTr="00BF3D9A">
        <w:tc>
          <w:tcPr>
            <w:tcW w:w="1435" w:type="dxa"/>
            <w:vMerge/>
          </w:tcPr>
          <w:p w:rsidR="002713BB" w:rsidRPr="009A7A7C" w:rsidRDefault="002713BB">
            <w:pPr>
              <w:rPr>
                <w:sz w:val="20"/>
                <w:szCs w:val="20"/>
              </w:rPr>
            </w:pPr>
          </w:p>
        </w:tc>
        <w:tc>
          <w:tcPr>
            <w:tcW w:w="3780" w:type="dxa"/>
          </w:tcPr>
          <w:p w:rsidR="002713BB" w:rsidRPr="002713BB" w:rsidRDefault="00FB672B" w:rsidP="002713BB">
            <w:pPr>
              <w:pStyle w:val="NoSpacing"/>
              <w:rPr>
                <w:sz w:val="20"/>
                <w:szCs w:val="20"/>
              </w:rPr>
            </w:pPr>
            <w:r>
              <w:rPr>
                <w:sz w:val="20"/>
                <w:szCs w:val="20"/>
              </w:rPr>
              <w:t xml:space="preserve">W.9 </w:t>
            </w:r>
            <w:r w:rsidR="002713BB" w:rsidRPr="002713BB">
              <w:rPr>
                <w:sz w:val="20"/>
                <w:szCs w:val="20"/>
              </w:rPr>
              <w:t xml:space="preserve">Draw evidence from literary or informational texts to support analysis, reflection, and research. </w:t>
            </w:r>
          </w:p>
        </w:tc>
        <w:tc>
          <w:tcPr>
            <w:tcW w:w="5040" w:type="dxa"/>
            <w:vMerge/>
          </w:tcPr>
          <w:p w:rsidR="002713BB" w:rsidRPr="009A7A7C" w:rsidRDefault="002713BB">
            <w:pPr>
              <w:rPr>
                <w:sz w:val="20"/>
                <w:szCs w:val="20"/>
              </w:rPr>
            </w:pPr>
          </w:p>
        </w:tc>
      </w:tr>
      <w:tr w:rsidR="00A054AD" w:rsidRPr="009A7A7C" w:rsidTr="00BF3D9A">
        <w:tc>
          <w:tcPr>
            <w:tcW w:w="1435" w:type="dxa"/>
          </w:tcPr>
          <w:p w:rsidR="00A054AD" w:rsidRPr="009A7A7C" w:rsidRDefault="00A054AD">
            <w:pPr>
              <w:rPr>
                <w:sz w:val="20"/>
                <w:szCs w:val="20"/>
              </w:rPr>
            </w:pPr>
            <w:r w:rsidRPr="009A7A7C">
              <w:rPr>
                <w:sz w:val="20"/>
                <w:szCs w:val="20"/>
              </w:rPr>
              <w:t>Range of Writing</w:t>
            </w:r>
          </w:p>
        </w:tc>
        <w:tc>
          <w:tcPr>
            <w:tcW w:w="3780" w:type="dxa"/>
          </w:tcPr>
          <w:p w:rsidR="00A054AD" w:rsidRPr="009A7A7C" w:rsidRDefault="00FB672B">
            <w:pPr>
              <w:rPr>
                <w:sz w:val="20"/>
                <w:szCs w:val="20"/>
              </w:rPr>
            </w:pPr>
            <w:r>
              <w:rPr>
                <w:rFonts w:cs="Arial"/>
                <w:color w:val="6D6E71"/>
                <w:sz w:val="20"/>
                <w:szCs w:val="20"/>
                <w:shd w:val="clear" w:color="auto" w:fill="FFFFFF"/>
              </w:rPr>
              <w:t xml:space="preserve">W.10 </w:t>
            </w:r>
            <w:r w:rsidR="00A054AD" w:rsidRPr="009A7A7C">
              <w:rPr>
                <w:rFonts w:cs="Arial"/>
                <w:color w:val="6D6E71"/>
                <w:sz w:val="20"/>
                <w:szCs w:val="20"/>
                <w:shd w:val="clear" w:color="auto" w:fill="FFFFFF"/>
              </w:rPr>
              <w:t>Write routinely over extended time frames (time for research, reflection, and revision) and shorter time frames (a single sitting or a day or two) for a range of tasks, purposes, and audiences.</w:t>
            </w:r>
          </w:p>
        </w:tc>
        <w:tc>
          <w:tcPr>
            <w:tcW w:w="5040" w:type="dxa"/>
          </w:tcPr>
          <w:p w:rsidR="002713BB" w:rsidRDefault="002713BB" w:rsidP="002713BB">
            <w:pPr>
              <w:rPr>
                <w:sz w:val="20"/>
                <w:szCs w:val="20"/>
              </w:rPr>
            </w:pPr>
            <w:r w:rsidRPr="002713BB">
              <w:rPr>
                <w:sz w:val="20"/>
                <w:szCs w:val="20"/>
              </w:rPr>
              <w:t>While Educators know that with each writing assignment, more of their evenings and weekends are eaten up with time spent scoring, most still say they need to assign more writing. This overwhelming task of scoring student writing often means that not only are students rarely assigned the a</w:t>
            </w:r>
            <w:r>
              <w:rPr>
                <w:sz w:val="20"/>
                <w:szCs w:val="20"/>
              </w:rPr>
              <w:t>mount of writing they need to be assigned</w:t>
            </w:r>
            <w:r w:rsidRPr="002713BB">
              <w:rPr>
                <w:sz w:val="20"/>
                <w:szCs w:val="20"/>
              </w:rPr>
              <w:t xml:space="preserve">, they also do not get immediate and timely feedback as specified in the standard related to range of writing, which asks students to write a variety of text and write regularly. Both summary and essay writing activities are included in WriteToLearn™ and the likelihood of students writing more and writing regularly increases. </w:t>
            </w:r>
          </w:p>
          <w:p w:rsidR="002713BB" w:rsidRDefault="002713BB" w:rsidP="002713BB">
            <w:pPr>
              <w:rPr>
                <w:sz w:val="20"/>
                <w:szCs w:val="20"/>
              </w:rPr>
            </w:pPr>
          </w:p>
          <w:p w:rsidR="002713BB" w:rsidRPr="002713BB" w:rsidRDefault="002713BB" w:rsidP="002713BB">
            <w:pPr>
              <w:rPr>
                <w:sz w:val="20"/>
                <w:szCs w:val="20"/>
              </w:rPr>
            </w:pPr>
            <w:r w:rsidRPr="002713BB">
              <w:rPr>
                <w:sz w:val="20"/>
                <w:szCs w:val="20"/>
              </w:rPr>
              <w:t>Jeff Pence</w:t>
            </w:r>
            <w:r>
              <w:rPr>
                <w:sz w:val="20"/>
                <w:szCs w:val="20"/>
              </w:rPr>
              <w:t xml:space="preserve"> is a teacher in Georgia using WriteToLearn™</w:t>
            </w:r>
            <w:r w:rsidRPr="002713BB">
              <w:rPr>
                <w:sz w:val="20"/>
                <w:szCs w:val="20"/>
              </w:rPr>
              <w:t xml:space="preserve"> and the writing done in his classroom during the 2014-15 addresses the issue of </w:t>
            </w:r>
            <w:r>
              <w:rPr>
                <w:sz w:val="20"/>
                <w:szCs w:val="20"/>
              </w:rPr>
              <w:t xml:space="preserve">writing routinely over extended time frames. </w:t>
            </w:r>
            <w:r w:rsidRPr="002713BB">
              <w:rPr>
                <w:sz w:val="20"/>
                <w:szCs w:val="20"/>
              </w:rPr>
              <w:t xml:space="preserve">He would be the first to tell you, he couldn’t support students in </w:t>
            </w:r>
            <w:proofErr w:type="gramStart"/>
            <w:r>
              <w:rPr>
                <w:sz w:val="20"/>
                <w:szCs w:val="20"/>
              </w:rPr>
              <w:t xml:space="preserve">their </w:t>
            </w:r>
            <w:r w:rsidRPr="002713BB">
              <w:rPr>
                <w:sz w:val="20"/>
                <w:szCs w:val="20"/>
              </w:rPr>
              <w:t xml:space="preserve"> writing</w:t>
            </w:r>
            <w:proofErr w:type="gramEnd"/>
            <w:r>
              <w:rPr>
                <w:sz w:val="20"/>
                <w:szCs w:val="20"/>
              </w:rPr>
              <w:t xml:space="preserve"> as well as he does</w:t>
            </w:r>
            <w:r w:rsidRPr="002713BB">
              <w:rPr>
                <w:sz w:val="20"/>
                <w:szCs w:val="20"/>
              </w:rPr>
              <w:t xml:space="preserve"> without the WriteToLearn™ tool. </w:t>
            </w:r>
          </w:p>
          <w:p w:rsidR="002713BB" w:rsidRPr="002713BB" w:rsidRDefault="002713BB" w:rsidP="002713BB">
            <w:pPr>
              <w:pStyle w:val="NoSpacing"/>
              <w:numPr>
                <w:ilvl w:val="0"/>
                <w:numId w:val="2"/>
              </w:numPr>
              <w:rPr>
                <w:sz w:val="20"/>
                <w:szCs w:val="20"/>
              </w:rPr>
            </w:pPr>
            <w:r w:rsidRPr="002713BB">
              <w:rPr>
                <w:b/>
                <w:bCs/>
                <w:sz w:val="20"/>
                <w:szCs w:val="20"/>
              </w:rPr>
              <w:t>129:</w:t>
            </w:r>
            <w:r w:rsidRPr="002713BB">
              <w:rPr>
                <w:sz w:val="20"/>
                <w:szCs w:val="20"/>
              </w:rPr>
              <w:t> This is the number of students for whom Jeff is responsible each day for writing instruction.</w:t>
            </w:r>
          </w:p>
          <w:p w:rsidR="002713BB" w:rsidRPr="002713BB" w:rsidRDefault="002713BB" w:rsidP="002713BB">
            <w:pPr>
              <w:pStyle w:val="NoSpacing"/>
              <w:numPr>
                <w:ilvl w:val="0"/>
                <w:numId w:val="2"/>
              </w:numPr>
              <w:rPr>
                <w:sz w:val="20"/>
                <w:szCs w:val="20"/>
              </w:rPr>
            </w:pPr>
            <w:r w:rsidRPr="002713BB">
              <w:rPr>
                <w:b/>
                <w:bCs/>
                <w:sz w:val="20"/>
                <w:szCs w:val="20"/>
              </w:rPr>
              <w:t>33:</w:t>
            </w:r>
            <w:r w:rsidRPr="002713BB">
              <w:rPr>
                <w:sz w:val="20"/>
                <w:szCs w:val="20"/>
              </w:rPr>
              <w:t> This is the number of essays and summaries each student completed during 2014-15 school year.</w:t>
            </w:r>
          </w:p>
          <w:p w:rsidR="002713BB" w:rsidRPr="002713BB" w:rsidRDefault="002713BB" w:rsidP="002713BB">
            <w:pPr>
              <w:pStyle w:val="NoSpacing"/>
              <w:numPr>
                <w:ilvl w:val="0"/>
                <w:numId w:val="2"/>
              </w:numPr>
              <w:rPr>
                <w:sz w:val="20"/>
                <w:szCs w:val="20"/>
              </w:rPr>
            </w:pPr>
            <w:r w:rsidRPr="002713BB">
              <w:rPr>
                <w:b/>
                <w:bCs/>
                <w:sz w:val="20"/>
                <w:szCs w:val="20"/>
              </w:rPr>
              <w:lastRenderedPageBreak/>
              <w:t>6:</w:t>
            </w:r>
            <w:r w:rsidRPr="002713BB">
              <w:rPr>
                <w:sz w:val="20"/>
                <w:szCs w:val="20"/>
              </w:rPr>
              <w:t> This is the average number of times each essay was submitted and scored.</w:t>
            </w:r>
          </w:p>
          <w:p w:rsidR="002713BB" w:rsidRPr="002713BB" w:rsidRDefault="002713BB" w:rsidP="002713BB">
            <w:pPr>
              <w:pStyle w:val="NoSpacing"/>
              <w:numPr>
                <w:ilvl w:val="0"/>
                <w:numId w:val="2"/>
              </w:numPr>
              <w:rPr>
                <w:sz w:val="20"/>
                <w:szCs w:val="20"/>
              </w:rPr>
            </w:pPr>
            <w:r w:rsidRPr="002713BB">
              <w:rPr>
                <w:b/>
                <w:bCs/>
                <w:sz w:val="20"/>
                <w:szCs w:val="20"/>
              </w:rPr>
              <w:t>25,542:</w:t>
            </w:r>
            <w:r w:rsidRPr="002713BB">
              <w:rPr>
                <w:sz w:val="20"/>
                <w:szCs w:val="20"/>
              </w:rPr>
              <w:t> This is the number of drafts that were thoroughly evaluated and returned to the students with feedback that was specific and consistent.</w:t>
            </w:r>
          </w:p>
          <w:p w:rsidR="002713BB" w:rsidRPr="002713BB" w:rsidRDefault="002713BB" w:rsidP="002713BB">
            <w:pPr>
              <w:pStyle w:val="NoSpacing"/>
              <w:numPr>
                <w:ilvl w:val="0"/>
                <w:numId w:val="2"/>
              </w:numPr>
              <w:rPr>
                <w:sz w:val="20"/>
                <w:szCs w:val="20"/>
              </w:rPr>
            </w:pPr>
            <w:r w:rsidRPr="002713BB">
              <w:rPr>
                <w:b/>
                <w:bCs/>
                <w:sz w:val="20"/>
                <w:szCs w:val="20"/>
              </w:rPr>
              <w:t>3,193:</w:t>
            </w:r>
            <w:r w:rsidRPr="002713BB">
              <w:rPr>
                <w:sz w:val="20"/>
                <w:szCs w:val="20"/>
              </w:rPr>
              <w:t> This is the number of days it would take a teacher to grade these assignments if he or she graded for 2 hours each day--that's nearly 9 years without a day off!</w:t>
            </w:r>
          </w:p>
          <w:p w:rsidR="002713BB" w:rsidRPr="002713BB" w:rsidRDefault="002713BB" w:rsidP="002713BB">
            <w:pPr>
              <w:shd w:val="clear" w:color="auto" w:fill="FFFFFF"/>
              <w:spacing w:line="306" w:lineRule="atLeast"/>
              <w:ind w:right="300"/>
              <w:rPr>
                <w:rFonts w:eastAsia="Times New Roman" w:cs="Arial"/>
                <w:sz w:val="20"/>
                <w:szCs w:val="20"/>
              </w:rPr>
            </w:pPr>
          </w:p>
          <w:p w:rsidR="002713BB" w:rsidRPr="002713BB" w:rsidRDefault="002713BB" w:rsidP="002713BB">
            <w:pPr>
              <w:pStyle w:val="NoSpacing"/>
              <w:rPr>
                <w:sz w:val="20"/>
                <w:szCs w:val="20"/>
              </w:rPr>
            </w:pPr>
            <w:r w:rsidRPr="002713BB">
              <w:rPr>
                <w:sz w:val="20"/>
                <w:szCs w:val="20"/>
              </w:rPr>
              <w:t>Range of writing is the standard most unlikely to be met if teachers don’t have electronic support.</w:t>
            </w:r>
          </w:p>
          <w:p w:rsidR="00A054AD" w:rsidRPr="009A7A7C" w:rsidRDefault="00A054AD">
            <w:pPr>
              <w:rPr>
                <w:sz w:val="20"/>
                <w:szCs w:val="20"/>
              </w:rPr>
            </w:pPr>
          </w:p>
        </w:tc>
      </w:tr>
    </w:tbl>
    <w:p w:rsidR="00B8781E" w:rsidRPr="009A7A7C" w:rsidRDefault="00B8781E">
      <w:pPr>
        <w:rPr>
          <w:sz w:val="20"/>
          <w:szCs w:val="20"/>
        </w:rPr>
      </w:pPr>
    </w:p>
    <w:sectPr w:rsidR="00B8781E" w:rsidRPr="009A7A7C" w:rsidSect="00BF3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E5D"/>
    <w:multiLevelType w:val="multilevel"/>
    <w:tmpl w:val="85B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414D9"/>
    <w:multiLevelType w:val="hybridMultilevel"/>
    <w:tmpl w:val="0D3C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1E"/>
    <w:rsid w:val="0000158A"/>
    <w:rsid w:val="002713BB"/>
    <w:rsid w:val="003F4241"/>
    <w:rsid w:val="009A7A7C"/>
    <w:rsid w:val="00A054AD"/>
    <w:rsid w:val="00AD614D"/>
    <w:rsid w:val="00B8781E"/>
    <w:rsid w:val="00BF3D9A"/>
    <w:rsid w:val="00FB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11622-6C11-4397-9CFD-8B18D2EC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54AD"/>
  </w:style>
  <w:style w:type="paragraph" w:styleId="NormalWeb">
    <w:name w:val="Normal (Web)"/>
    <w:basedOn w:val="Normal"/>
    <w:uiPriority w:val="99"/>
    <w:semiHidden/>
    <w:unhideWhenUsed/>
    <w:rsid w:val="00A05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4AD"/>
    <w:rPr>
      <w:color w:val="0000FF"/>
      <w:u w:val="single"/>
    </w:rPr>
  </w:style>
  <w:style w:type="paragraph" w:styleId="NoSpacing">
    <w:name w:val="No Spacing"/>
    <w:uiPriority w:val="1"/>
    <w:qFormat/>
    <w:rsid w:val="009A7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4447">
      <w:bodyDiv w:val="1"/>
      <w:marLeft w:val="0"/>
      <w:marRight w:val="0"/>
      <w:marTop w:val="0"/>
      <w:marBottom w:val="0"/>
      <w:divBdr>
        <w:top w:val="none" w:sz="0" w:space="0" w:color="auto"/>
        <w:left w:val="none" w:sz="0" w:space="0" w:color="auto"/>
        <w:bottom w:val="none" w:sz="0" w:space="0" w:color="auto"/>
        <w:right w:val="none" w:sz="0" w:space="0" w:color="auto"/>
      </w:divBdr>
      <w:divsChild>
        <w:div w:id="565144676">
          <w:marLeft w:val="0"/>
          <w:marRight w:val="0"/>
          <w:marTop w:val="0"/>
          <w:marBottom w:val="0"/>
          <w:divBdr>
            <w:top w:val="none" w:sz="0" w:space="0" w:color="auto"/>
            <w:left w:val="none" w:sz="0" w:space="0" w:color="auto"/>
            <w:bottom w:val="none" w:sz="0" w:space="0" w:color="auto"/>
            <w:right w:val="none" w:sz="0" w:space="0" w:color="auto"/>
          </w:divBdr>
          <w:divsChild>
            <w:div w:id="1612518546">
              <w:marLeft w:val="0"/>
              <w:marRight w:val="0"/>
              <w:marTop w:val="0"/>
              <w:marBottom w:val="0"/>
              <w:divBdr>
                <w:top w:val="none" w:sz="0" w:space="0" w:color="auto"/>
                <w:left w:val="none" w:sz="0" w:space="0" w:color="auto"/>
                <w:bottom w:val="none" w:sz="0" w:space="0" w:color="auto"/>
                <w:right w:val="none" w:sz="0" w:space="0" w:color="auto"/>
              </w:divBdr>
            </w:div>
          </w:divsChild>
        </w:div>
        <w:div w:id="1434978422">
          <w:marLeft w:val="0"/>
          <w:marRight w:val="0"/>
          <w:marTop w:val="0"/>
          <w:marBottom w:val="30"/>
          <w:divBdr>
            <w:top w:val="single" w:sz="6" w:space="0" w:color="B4B4B6"/>
            <w:left w:val="single" w:sz="6" w:space="0" w:color="B4B4B6"/>
            <w:bottom w:val="single" w:sz="6" w:space="0" w:color="B4B4B6"/>
            <w:right w:val="single" w:sz="6" w:space="0" w:color="B4B4B6"/>
          </w:divBdr>
        </w:div>
      </w:divsChild>
    </w:div>
    <w:div w:id="1241595562">
      <w:bodyDiv w:val="1"/>
      <w:marLeft w:val="0"/>
      <w:marRight w:val="0"/>
      <w:marTop w:val="0"/>
      <w:marBottom w:val="0"/>
      <w:divBdr>
        <w:top w:val="none" w:sz="0" w:space="0" w:color="auto"/>
        <w:left w:val="none" w:sz="0" w:space="0" w:color="auto"/>
        <w:bottom w:val="none" w:sz="0" w:space="0" w:color="auto"/>
        <w:right w:val="none" w:sz="0" w:space="0" w:color="auto"/>
      </w:divBdr>
      <w:divsChild>
        <w:div w:id="1815945499">
          <w:marLeft w:val="0"/>
          <w:marRight w:val="0"/>
          <w:marTop w:val="0"/>
          <w:marBottom w:val="0"/>
          <w:divBdr>
            <w:top w:val="none" w:sz="0" w:space="0" w:color="auto"/>
            <w:left w:val="none" w:sz="0" w:space="0" w:color="auto"/>
            <w:bottom w:val="none" w:sz="0" w:space="0" w:color="auto"/>
            <w:right w:val="none" w:sz="0" w:space="0" w:color="auto"/>
          </w:divBdr>
          <w:divsChild>
            <w:div w:id="667632801">
              <w:marLeft w:val="0"/>
              <w:marRight w:val="0"/>
              <w:marTop w:val="0"/>
              <w:marBottom w:val="0"/>
              <w:divBdr>
                <w:top w:val="none" w:sz="0" w:space="0" w:color="auto"/>
                <w:left w:val="none" w:sz="0" w:space="0" w:color="auto"/>
                <w:bottom w:val="none" w:sz="0" w:space="0" w:color="auto"/>
                <w:right w:val="none" w:sz="0" w:space="0" w:color="auto"/>
              </w:divBdr>
            </w:div>
          </w:divsChild>
        </w:div>
        <w:div w:id="761805777">
          <w:marLeft w:val="0"/>
          <w:marRight w:val="0"/>
          <w:marTop w:val="0"/>
          <w:marBottom w:val="30"/>
          <w:divBdr>
            <w:top w:val="single" w:sz="6" w:space="0" w:color="B4B4B6"/>
            <w:left w:val="single" w:sz="6" w:space="0" w:color="B4B4B6"/>
            <w:bottom w:val="single" w:sz="6" w:space="0" w:color="B4B4B6"/>
            <w:right w:val="single" w:sz="6" w:space="0" w:color="B4B4B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krowlands/Content/Academic_Resources/Composition/Tool%20for%20Learning/How%20Writing%20Affects%20Learning_files/howdoes.htm" TargetMode="External"/><Relationship Id="rId5" Type="http://schemas.openxmlformats.org/officeDocument/2006/relationships/hyperlink" Target="http://www.historyplace.com/speeches/wies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Susan Olesen</cp:lastModifiedBy>
  <cp:revision>2</cp:revision>
  <dcterms:created xsi:type="dcterms:W3CDTF">2016-10-12T18:54:00Z</dcterms:created>
  <dcterms:modified xsi:type="dcterms:W3CDTF">2016-10-12T18:54:00Z</dcterms:modified>
</cp:coreProperties>
</file>