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41" w:rsidRDefault="00360A41" w:rsidP="00360A41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</w:rPr>
      </w:pPr>
    </w:p>
    <w:p w:rsidR="008D4BAA" w:rsidRPr="00E83CC7" w:rsidRDefault="008D4BAA" w:rsidP="009C1B3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36"/>
        </w:rPr>
      </w:pPr>
      <w:r w:rsidRPr="00E83CC7">
        <w:rPr>
          <w:rFonts w:asciiTheme="majorHAnsi" w:eastAsia="Times New Roman" w:hAnsiTheme="majorHAnsi" w:cs="Times New Roman"/>
          <w:b/>
          <w:bCs/>
          <w:color w:val="000000"/>
          <w:sz w:val="36"/>
        </w:rPr>
        <w:t xml:space="preserve">Key Measures </w:t>
      </w:r>
      <w:r w:rsidR="00E83CC7">
        <w:rPr>
          <w:rFonts w:asciiTheme="majorHAnsi" w:eastAsia="Times New Roman" w:hAnsiTheme="majorHAnsi" w:cs="Times New Roman"/>
          <w:b/>
          <w:bCs/>
          <w:color w:val="000000"/>
          <w:sz w:val="36"/>
        </w:rPr>
        <w:t>of Fina</w:t>
      </w:r>
      <w:bookmarkStart w:id="0" w:name="_GoBack"/>
      <w:bookmarkEnd w:id="0"/>
      <w:r w:rsidR="00E83CC7">
        <w:rPr>
          <w:rFonts w:asciiTheme="majorHAnsi" w:eastAsia="Times New Roman" w:hAnsiTheme="majorHAnsi" w:cs="Times New Roman"/>
          <w:b/>
          <w:bCs/>
          <w:color w:val="000000"/>
          <w:sz w:val="36"/>
        </w:rPr>
        <w:t xml:space="preserve">ncial Health </w:t>
      </w:r>
      <w:r w:rsidRPr="00E83CC7">
        <w:rPr>
          <w:rFonts w:asciiTheme="majorHAnsi" w:eastAsia="Times New Roman" w:hAnsiTheme="majorHAnsi" w:cs="Times New Roman"/>
          <w:b/>
          <w:bCs/>
          <w:color w:val="000000"/>
          <w:sz w:val="36"/>
        </w:rPr>
        <w:t xml:space="preserve">for School </w:t>
      </w:r>
      <w:r w:rsidR="00E83CC7">
        <w:rPr>
          <w:rFonts w:asciiTheme="majorHAnsi" w:eastAsia="Times New Roman" w:hAnsiTheme="majorHAnsi" w:cs="Times New Roman"/>
          <w:b/>
          <w:bCs/>
          <w:color w:val="000000"/>
          <w:sz w:val="36"/>
        </w:rPr>
        <w:t xml:space="preserve">Leaders </w:t>
      </w:r>
      <w:r w:rsidRPr="00E83CC7">
        <w:rPr>
          <w:rFonts w:asciiTheme="majorHAnsi" w:eastAsia="Times New Roman" w:hAnsiTheme="majorHAnsi" w:cs="Times New Roman"/>
          <w:b/>
          <w:bCs/>
          <w:color w:val="000000"/>
          <w:sz w:val="36"/>
        </w:rPr>
        <w:t>to Understand and Track</w:t>
      </w:r>
    </w:p>
    <w:p w:rsidR="008D4BAA" w:rsidRDefault="008D4BAA" w:rsidP="009C1B3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</w:rPr>
      </w:pPr>
    </w:p>
    <w:p w:rsidR="00360A41" w:rsidRDefault="00360A41" w:rsidP="009C1B3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</w:rPr>
      </w:pPr>
    </w:p>
    <w:p w:rsidR="003C7A62" w:rsidRPr="00646370" w:rsidRDefault="003C7A62" w:rsidP="009C1B3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  <w:r w:rsidRPr="00646370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  <w:t>Unspent Budget Authority</w:t>
      </w:r>
    </w:p>
    <w:p w:rsidR="00646370" w:rsidRDefault="003C7A62" w:rsidP="009C1B3A">
      <w:pPr>
        <w:spacing w:after="0" w:line="240" w:lineRule="auto"/>
        <w:outlineLvl w:val="4"/>
        <w:rPr>
          <w:rFonts w:asciiTheme="majorHAnsi" w:eastAsia="Times New Roman" w:hAnsiTheme="majorHAnsi" w:cs="Times New Roman"/>
          <w:color w:val="000000"/>
        </w:rPr>
      </w:pPr>
      <w:r w:rsidRPr="00E83CC7">
        <w:rPr>
          <w:rFonts w:asciiTheme="majorHAnsi" w:eastAsia="Times New Roman" w:hAnsiTheme="majorHAnsi" w:cs="Times New Roman"/>
          <w:color w:val="000000"/>
        </w:rPr>
        <w:t xml:space="preserve">Unspent Budget Authority, also known as “Unspent Balance” is the amount of </w:t>
      </w:r>
      <w:r w:rsidR="00C83D99">
        <w:rPr>
          <w:rFonts w:asciiTheme="majorHAnsi" w:eastAsia="Times New Roman" w:hAnsiTheme="majorHAnsi" w:cs="Times New Roman"/>
          <w:color w:val="000000"/>
        </w:rPr>
        <w:t xml:space="preserve">unused </w:t>
      </w:r>
      <w:r w:rsidRPr="00E83CC7">
        <w:rPr>
          <w:rFonts w:asciiTheme="majorHAnsi" w:eastAsia="Times New Roman" w:hAnsiTheme="majorHAnsi" w:cs="Times New Roman"/>
          <w:color w:val="000000"/>
        </w:rPr>
        <w:t xml:space="preserve">district </w:t>
      </w:r>
      <w:r w:rsidR="00453D53">
        <w:rPr>
          <w:rFonts w:asciiTheme="majorHAnsi" w:eastAsia="Times New Roman" w:hAnsiTheme="majorHAnsi" w:cs="Times New Roman"/>
          <w:color w:val="000000"/>
        </w:rPr>
        <w:t>General Fund</w:t>
      </w:r>
      <w:r w:rsidRPr="00E83CC7">
        <w:rPr>
          <w:rFonts w:asciiTheme="majorHAnsi" w:eastAsia="Times New Roman" w:hAnsiTheme="majorHAnsi" w:cs="Times New Roman"/>
          <w:color w:val="000000"/>
        </w:rPr>
        <w:t xml:space="preserve"> capacity to spend on behalf of students, or </w:t>
      </w:r>
      <w:r w:rsidRPr="00E83CC7">
        <w:rPr>
          <w:rFonts w:asciiTheme="majorHAnsi" w:eastAsia="Times New Roman" w:hAnsiTheme="majorHAnsi" w:cs="Times New Roman"/>
          <w:b/>
          <w:i/>
          <w:color w:val="000000"/>
        </w:rPr>
        <w:t>spending authority</w:t>
      </w:r>
      <w:r w:rsidRPr="00E83CC7">
        <w:rPr>
          <w:rFonts w:asciiTheme="majorHAnsi" w:eastAsia="Times New Roman" w:hAnsiTheme="majorHAnsi" w:cs="Times New Roman"/>
          <w:color w:val="000000"/>
        </w:rPr>
        <w:t>, left over at the end of the fiscal year.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Pr="00E83CC7">
        <w:rPr>
          <w:rFonts w:asciiTheme="majorHAnsi" w:eastAsia="Times New Roman" w:hAnsiTheme="majorHAnsi" w:cs="Times New Roman"/>
          <w:color w:val="000000"/>
        </w:rPr>
        <w:t>This funding capacity carries forward into the next fiscal year.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Pr="00E83CC7">
        <w:rPr>
          <w:rFonts w:asciiTheme="majorHAnsi" w:eastAsia="Times New Roman" w:hAnsiTheme="majorHAnsi" w:cs="Times New Roman"/>
          <w:color w:val="000000"/>
        </w:rPr>
        <w:t>It is one-time capacity and may be fund</w:t>
      </w:r>
      <w:r w:rsidR="00E83CC7">
        <w:rPr>
          <w:rFonts w:asciiTheme="majorHAnsi" w:eastAsia="Times New Roman" w:hAnsiTheme="majorHAnsi" w:cs="Times New Roman"/>
          <w:color w:val="000000"/>
        </w:rPr>
        <w:t>ed</w:t>
      </w:r>
      <w:r w:rsidRPr="00E83CC7">
        <w:rPr>
          <w:rFonts w:asciiTheme="majorHAnsi" w:eastAsia="Times New Roman" w:hAnsiTheme="majorHAnsi" w:cs="Times New Roman"/>
          <w:color w:val="000000"/>
        </w:rPr>
        <w:t xml:space="preserve"> with cash reserve </w:t>
      </w:r>
      <w:r w:rsidR="0023744D">
        <w:rPr>
          <w:rFonts w:asciiTheme="majorHAnsi" w:eastAsia="Times New Roman" w:hAnsiTheme="majorHAnsi" w:cs="Times New Roman"/>
          <w:color w:val="000000"/>
        </w:rPr>
        <w:t xml:space="preserve">fund </w:t>
      </w:r>
      <w:r w:rsidRPr="00E83CC7">
        <w:rPr>
          <w:rFonts w:asciiTheme="majorHAnsi" w:eastAsia="Times New Roman" w:hAnsiTheme="majorHAnsi" w:cs="Times New Roman"/>
          <w:color w:val="000000"/>
        </w:rPr>
        <w:t>balances or a cash reserve levy.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Pr="00E83CC7">
        <w:rPr>
          <w:rFonts w:asciiTheme="majorHAnsi" w:eastAsia="Times New Roman" w:hAnsiTheme="majorHAnsi" w:cs="Times New Roman"/>
          <w:color w:val="000000"/>
        </w:rPr>
        <w:t>The Unspent Budget Authority trend line is the m</w:t>
      </w:r>
      <w:r w:rsidR="0023744D">
        <w:rPr>
          <w:rFonts w:asciiTheme="majorHAnsi" w:eastAsia="Times New Roman" w:hAnsiTheme="majorHAnsi" w:cs="Times New Roman"/>
          <w:color w:val="000000"/>
        </w:rPr>
        <w:t>ost telling financial indicator</w:t>
      </w:r>
      <w:r w:rsidRPr="00E83CC7">
        <w:rPr>
          <w:rFonts w:asciiTheme="majorHAnsi" w:eastAsia="Times New Roman" w:hAnsiTheme="majorHAnsi" w:cs="Times New Roman"/>
          <w:color w:val="000000"/>
        </w:rPr>
        <w:t xml:space="preserve"> school district leaders count on to inform expenditure decisions.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="00EB5454">
        <w:rPr>
          <w:rFonts w:asciiTheme="majorHAnsi" w:eastAsia="Times New Roman" w:hAnsiTheme="majorHAnsi" w:cs="Times New Roman"/>
          <w:color w:val="000000"/>
        </w:rPr>
        <w:t xml:space="preserve">Districts </w:t>
      </w:r>
      <w:r w:rsidR="00485F96">
        <w:rPr>
          <w:rFonts w:asciiTheme="majorHAnsi" w:eastAsia="Times New Roman" w:hAnsiTheme="majorHAnsi" w:cs="Times New Roman"/>
          <w:color w:val="000000"/>
        </w:rPr>
        <w:t xml:space="preserve">whose Unspent Budget Authority is negative are subject to </w:t>
      </w:r>
      <w:proofErr w:type="spellStart"/>
      <w:r w:rsidR="00485F96">
        <w:rPr>
          <w:rFonts w:asciiTheme="majorHAnsi" w:eastAsia="Times New Roman" w:hAnsiTheme="majorHAnsi" w:cs="Times New Roman"/>
          <w:color w:val="000000"/>
        </w:rPr>
        <w:t>workout</w:t>
      </w:r>
      <w:proofErr w:type="spellEnd"/>
      <w:r w:rsidR="00485F96">
        <w:rPr>
          <w:rFonts w:asciiTheme="majorHAnsi" w:eastAsia="Times New Roman" w:hAnsiTheme="majorHAnsi" w:cs="Times New Roman"/>
          <w:color w:val="000000"/>
        </w:rPr>
        <w:t xml:space="preserve"> plans and enhanced state scrutiny at a minimum;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="00485F96">
        <w:rPr>
          <w:rFonts w:asciiTheme="majorHAnsi" w:eastAsia="Times New Roman" w:hAnsiTheme="majorHAnsi" w:cs="Times New Roman"/>
          <w:color w:val="000000"/>
        </w:rPr>
        <w:t>at a maximum</w:t>
      </w:r>
      <w:r w:rsidR="00453D53">
        <w:rPr>
          <w:rFonts w:asciiTheme="majorHAnsi" w:eastAsia="Times New Roman" w:hAnsiTheme="majorHAnsi" w:cs="Times New Roman"/>
          <w:color w:val="000000"/>
        </w:rPr>
        <w:t>,</w:t>
      </w:r>
      <w:r w:rsidR="00485F96">
        <w:rPr>
          <w:rFonts w:asciiTheme="majorHAnsi" w:eastAsia="Times New Roman" w:hAnsiTheme="majorHAnsi" w:cs="Times New Roman"/>
          <w:color w:val="000000"/>
        </w:rPr>
        <w:t xml:space="preserve"> it can result in the closure of the district by the state board of education. </w:t>
      </w:r>
      <w:r w:rsidR="00C83D99">
        <w:rPr>
          <w:rFonts w:asciiTheme="majorHAnsi" w:eastAsia="Times New Roman" w:hAnsiTheme="majorHAnsi" w:cs="Times New Roman"/>
          <w:color w:val="000000"/>
        </w:rPr>
        <w:t xml:space="preserve">The concept of Unspent Budget Authority only applies to the </w:t>
      </w:r>
      <w:r w:rsidR="00453D53">
        <w:rPr>
          <w:rFonts w:asciiTheme="majorHAnsi" w:eastAsia="Times New Roman" w:hAnsiTheme="majorHAnsi" w:cs="Times New Roman"/>
          <w:color w:val="000000"/>
        </w:rPr>
        <w:t>General Fund</w:t>
      </w:r>
      <w:r w:rsidR="00C83D99">
        <w:rPr>
          <w:rFonts w:asciiTheme="majorHAnsi" w:eastAsia="Times New Roman" w:hAnsiTheme="majorHAnsi" w:cs="Times New Roman"/>
          <w:color w:val="000000"/>
        </w:rPr>
        <w:t>.</w:t>
      </w:r>
    </w:p>
    <w:p w:rsidR="00646370" w:rsidRDefault="00646370" w:rsidP="009C1B3A">
      <w:pPr>
        <w:spacing w:after="0" w:line="240" w:lineRule="auto"/>
        <w:outlineLvl w:val="4"/>
        <w:rPr>
          <w:rFonts w:asciiTheme="majorHAnsi" w:eastAsia="Times New Roman" w:hAnsiTheme="majorHAnsi" w:cs="Times New Roman"/>
          <w:color w:val="000000"/>
        </w:rPr>
      </w:pPr>
    </w:p>
    <w:p w:rsidR="003C7A62" w:rsidRDefault="00C83D99" w:rsidP="009C1B3A">
      <w:pPr>
        <w:spacing w:after="0" w:line="240" w:lineRule="auto"/>
        <w:outlineLvl w:val="4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Since spending authority is generated on a per pupil basis as set by the legislature, t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he only way </w:t>
      </w:r>
      <w:r>
        <w:rPr>
          <w:rFonts w:asciiTheme="majorHAnsi" w:eastAsia="Times New Roman" w:hAnsiTheme="majorHAnsi" w:cs="Times New Roman"/>
          <w:color w:val="000000"/>
        </w:rPr>
        <w:t xml:space="preserve">for school districts 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to gain additional Unspent Budget Authority is to reduce </w:t>
      </w:r>
      <w:r w:rsidR="00453D53">
        <w:rPr>
          <w:rFonts w:asciiTheme="majorHAnsi" w:eastAsia="Times New Roman" w:hAnsiTheme="majorHAnsi" w:cs="Times New Roman"/>
          <w:color w:val="000000"/>
        </w:rPr>
        <w:t>General Fund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 expenditures relative to </w:t>
      </w:r>
      <w:r w:rsidR="00453D53">
        <w:rPr>
          <w:rFonts w:asciiTheme="majorHAnsi" w:eastAsia="Times New Roman" w:hAnsiTheme="majorHAnsi" w:cs="Times New Roman"/>
          <w:color w:val="000000"/>
        </w:rPr>
        <w:t>General Fund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 </w:t>
      </w:r>
      <w:r>
        <w:rPr>
          <w:rFonts w:asciiTheme="majorHAnsi" w:eastAsia="Times New Roman" w:hAnsiTheme="majorHAnsi" w:cs="Times New Roman"/>
          <w:color w:val="000000"/>
        </w:rPr>
        <w:t>authority</w:t>
      </w:r>
      <w:r w:rsidR="003C7A62" w:rsidRPr="00E83CC7">
        <w:rPr>
          <w:rFonts w:asciiTheme="majorHAnsi" w:eastAsia="Times New Roman" w:hAnsiTheme="majorHAnsi" w:cs="Times New Roman"/>
          <w:color w:val="000000"/>
        </w:rPr>
        <w:t>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School districts have little </w:t>
      </w:r>
      <w:r w:rsidR="00EB5454">
        <w:rPr>
          <w:rFonts w:asciiTheme="majorHAnsi" w:eastAsia="Times New Roman" w:hAnsiTheme="majorHAnsi" w:cs="Times New Roman"/>
          <w:color w:val="000000"/>
        </w:rPr>
        <w:t>ability</w:t>
      </w:r>
      <w:r w:rsidR="00EB5454" w:rsidRPr="00E83CC7">
        <w:rPr>
          <w:rFonts w:asciiTheme="majorHAnsi" w:eastAsia="Times New Roman" w:hAnsiTheme="majorHAnsi" w:cs="Times New Roman"/>
          <w:color w:val="000000"/>
        </w:rPr>
        <w:t xml:space="preserve"> 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to increase </w:t>
      </w:r>
      <w:r w:rsidR="00EB5454">
        <w:rPr>
          <w:rFonts w:asciiTheme="majorHAnsi" w:eastAsia="Times New Roman" w:hAnsiTheme="majorHAnsi" w:cs="Times New Roman"/>
          <w:color w:val="000000"/>
        </w:rPr>
        <w:t>spending authority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 since the legislature determines </w:t>
      </w:r>
      <w:r w:rsidR="0023744D">
        <w:rPr>
          <w:rFonts w:asciiTheme="majorHAnsi" w:eastAsia="Times New Roman" w:hAnsiTheme="majorHAnsi" w:cs="Times New Roman"/>
          <w:color w:val="000000"/>
        </w:rPr>
        <w:t>the per pupil increase in spending authority</w:t>
      </w:r>
      <w:r w:rsidR="00453D53">
        <w:rPr>
          <w:rFonts w:asciiTheme="majorHAnsi" w:eastAsia="Times New Roman" w:hAnsiTheme="majorHAnsi" w:cs="Times New Roman"/>
          <w:color w:val="000000"/>
        </w:rPr>
        <w:t>,</w:t>
      </w:r>
      <w:r w:rsidR="0023744D">
        <w:rPr>
          <w:rFonts w:asciiTheme="majorHAnsi" w:eastAsia="Times New Roman" w:hAnsiTheme="majorHAnsi" w:cs="Times New Roman"/>
          <w:color w:val="000000"/>
        </w:rPr>
        <w:t xml:space="preserve"> </w:t>
      </w:r>
      <w:r w:rsidR="00522D30">
        <w:rPr>
          <w:rFonts w:asciiTheme="majorHAnsi" w:eastAsia="Times New Roman" w:hAnsiTheme="majorHAnsi" w:cs="Times New Roman"/>
          <w:color w:val="000000"/>
        </w:rPr>
        <w:t>known as state supplemental assistance</w:t>
      </w:r>
      <w:r w:rsidR="003C7A62" w:rsidRPr="00E83CC7">
        <w:rPr>
          <w:rFonts w:asciiTheme="majorHAnsi" w:eastAsia="Times New Roman" w:hAnsiTheme="majorHAnsi" w:cs="Times New Roman"/>
          <w:color w:val="000000"/>
        </w:rPr>
        <w:t>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Beyond that, a school district may impose an Instructional Support Levy (most have already done that), pursue every avenue of claiming additional </w:t>
      </w:r>
      <w:r w:rsidR="00453D53">
        <w:rPr>
          <w:rFonts w:asciiTheme="majorHAnsi" w:eastAsia="Times New Roman" w:hAnsiTheme="majorHAnsi" w:cs="Times New Roman"/>
          <w:color w:val="000000"/>
        </w:rPr>
        <w:t>M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odified </w:t>
      </w:r>
      <w:r w:rsidR="00453D53">
        <w:rPr>
          <w:rFonts w:asciiTheme="majorHAnsi" w:eastAsia="Times New Roman" w:hAnsiTheme="majorHAnsi" w:cs="Times New Roman"/>
          <w:color w:val="000000"/>
        </w:rPr>
        <w:t>S</w:t>
      </w:r>
      <w:r w:rsidR="002204F3">
        <w:rPr>
          <w:rFonts w:asciiTheme="majorHAnsi" w:eastAsia="Times New Roman" w:hAnsiTheme="majorHAnsi" w:cs="Times New Roman"/>
          <w:color w:val="000000"/>
        </w:rPr>
        <w:t>upplemental amount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 (spending authority) for on-time funding for enrollment growth, </w:t>
      </w:r>
      <w:r w:rsidR="00453D53">
        <w:rPr>
          <w:rFonts w:asciiTheme="majorHAnsi" w:eastAsia="Times New Roman" w:hAnsiTheme="majorHAnsi" w:cs="Times New Roman"/>
          <w:color w:val="000000"/>
        </w:rPr>
        <w:t>B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udget </w:t>
      </w:r>
      <w:r w:rsidR="00453D53">
        <w:rPr>
          <w:rFonts w:asciiTheme="majorHAnsi" w:eastAsia="Times New Roman" w:hAnsiTheme="majorHAnsi" w:cs="Times New Roman"/>
          <w:color w:val="000000"/>
        </w:rPr>
        <w:t>G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uarantee for enrollment decline, </w:t>
      </w:r>
      <w:r w:rsidR="00453D53">
        <w:rPr>
          <w:rFonts w:asciiTheme="majorHAnsi" w:eastAsia="Times New Roman" w:hAnsiTheme="majorHAnsi" w:cs="Times New Roman"/>
          <w:color w:val="000000"/>
        </w:rPr>
        <w:t>D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ropout </w:t>
      </w:r>
      <w:r w:rsidR="00453D53">
        <w:rPr>
          <w:rFonts w:asciiTheme="majorHAnsi" w:eastAsia="Times New Roman" w:hAnsiTheme="majorHAnsi" w:cs="Times New Roman"/>
          <w:color w:val="000000"/>
        </w:rPr>
        <w:t>P</w:t>
      </w:r>
      <w:r w:rsidR="003C7A62" w:rsidRPr="00E83CC7">
        <w:rPr>
          <w:rFonts w:asciiTheme="majorHAnsi" w:eastAsia="Times New Roman" w:hAnsiTheme="majorHAnsi" w:cs="Times New Roman"/>
          <w:color w:val="000000"/>
        </w:rPr>
        <w:t>revention, English-</w:t>
      </w:r>
      <w:r w:rsidR="00453D53">
        <w:rPr>
          <w:rFonts w:asciiTheme="majorHAnsi" w:eastAsia="Times New Roman" w:hAnsiTheme="majorHAnsi" w:cs="Times New Roman"/>
          <w:color w:val="000000"/>
        </w:rPr>
        <w:t>L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earner </w:t>
      </w:r>
      <w:r w:rsidR="00453D53">
        <w:rPr>
          <w:rFonts w:asciiTheme="majorHAnsi" w:eastAsia="Times New Roman" w:hAnsiTheme="majorHAnsi" w:cs="Times New Roman"/>
          <w:color w:val="000000"/>
        </w:rPr>
        <w:t>A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uthority, or </w:t>
      </w:r>
      <w:r w:rsidR="0023744D">
        <w:rPr>
          <w:rFonts w:asciiTheme="majorHAnsi" w:eastAsia="Times New Roman" w:hAnsiTheme="majorHAnsi" w:cs="Times New Roman"/>
          <w:color w:val="000000"/>
        </w:rPr>
        <w:t xml:space="preserve">an </w:t>
      </w:r>
      <w:r w:rsidR="006A4E8B" w:rsidRPr="00E83CC7">
        <w:rPr>
          <w:rFonts w:asciiTheme="majorHAnsi" w:eastAsia="Times New Roman" w:hAnsiTheme="majorHAnsi" w:cs="Times New Roman"/>
          <w:color w:val="000000"/>
        </w:rPr>
        <w:t xml:space="preserve">additional </w:t>
      </w:r>
      <w:r w:rsidR="00453D53">
        <w:rPr>
          <w:rFonts w:asciiTheme="majorHAnsi" w:eastAsia="Times New Roman" w:hAnsiTheme="majorHAnsi" w:cs="Times New Roman"/>
          <w:color w:val="000000"/>
        </w:rPr>
        <w:t>M</w:t>
      </w:r>
      <w:r w:rsidR="006A4E8B" w:rsidRPr="00E83CC7">
        <w:rPr>
          <w:rFonts w:asciiTheme="majorHAnsi" w:eastAsia="Times New Roman" w:hAnsiTheme="majorHAnsi" w:cs="Times New Roman"/>
          <w:color w:val="000000"/>
        </w:rPr>
        <w:t xml:space="preserve">odified </w:t>
      </w:r>
      <w:r w:rsidR="00453D53">
        <w:rPr>
          <w:rFonts w:asciiTheme="majorHAnsi" w:eastAsia="Times New Roman" w:hAnsiTheme="majorHAnsi" w:cs="Times New Roman"/>
          <w:color w:val="000000"/>
        </w:rPr>
        <w:t>S</w:t>
      </w:r>
      <w:r w:rsidR="002204F3">
        <w:rPr>
          <w:rFonts w:asciiTheme="majorHAnsi" w:eastAsia="Times New Roman" w:hAnsiTheme="majorHAnsi" w:cs="Times New Roman"/>
          <w:color w:val="000000"/>
        </w:rPr>
        <w:t>upplemental amount</w:t>
      </w:r>
      <w:r w:rsidR="006A4E8B" w:rsidRPr="00E83CC7">
        <w:rPr>
          <w:rFonts w:asciiTheme="majorHAnsi" w:eastAsia="Times New Roman" w:hAnsiTheme="majorHAnsi" w:cs="Times New Roman"/>
          <w:color w:val="000000"/>
        </w:rPr>
        <w:t xml:space="preserve"> for unique and unusual circumstance</w:t>
      </w:r>
      <w:r w:rsidR="00522D30">
        <w:rPr>
          <w:rFonts w:asciiTheme="majorHAnsi" w:eastAsia="Times New Roman" w:hAnsiTheme="majorHAnsi" w:cs="Times New Roman"/>
          <w:color w:val="000000"/>
        </w:rPr>
        <w:t>s</w:t>
      </w:r>
      <w:r w:rsidR="006A4E8B" w:rsidRPr="00E83CC7">
        <w:rPr>
          <w:rFonts w:asciiTheme="majorHAnsi" w:eastAsia="Times New Roman" w:hAnsiTheme="majorHAnsi" w:cs="Times New Roman"/>
          <w:color w:val="000000"/>
        </w:rPr>
        <w:t>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="006A4E8B" w:rsidRPr="00E83CC7">
        <w:rPr>
          <w:rFonts w:asciiTheme="majorHAnsi" w:eastAsia="Times New Roman" w:hAnsiTheme="majorHAnsi" w:cs="Times New Roman"/>
          <w:color w:val="000000"/>
        </w:rPr>
        <w:t>Grant</w:t>
      </w:r>
      <w:r>
        <w:rPr>
          <w:rFonts w:asciiTheme="majorHAnsi" w:eastAsia="Times New Roman" w:hAnsiTheme="majorHAnsi" w:cs="Times New Roman"/>
          <w:color w:val="000000"/>
        </w:rPr>
        <w:t>s</w:t>
      </w:r>
      <w:r w:rsidR="006A4E8B" w:rsidRPr="00E83CC7">
        <w:rPr>
          <w:rFonts w:asciiTheme="majorHAnsi" w:eastAsia="Times New Roman" w:hAnsiTheme="majorHAnsi" w:cs="Times New Roman"/>
          <w:color w:val="000000"/>
        </w:rPr>
        <w:t xml:space="preserve"> or federal funding, considered as </w:t>
      </w:r>
      <w:r w:rsidR="00453D53">
        <w:rPr>
          <w:rFonts w:asciiTheme="majorHAnsi" w:eastAsia="Times New Roman" w:hAnsiTheme="majorHAnsi" w:cs="Times New Roman"/>
          <w:color w:val="000000"/>
        </w:rPr>
        <w:t>M</w:t>
      </w:r>
      <w:r w:rsidR="006A4E8B" w:rsidRPr="00E83CC7">
        <w:rPr>
          <w:rFonts w:asciiTheme="majorHAnsi" w:eastAsia="Times New Roman" w:hAnsiTheme="majorHAnsi" w:cs="Times New Roman"/>
          <w:color w:val="000000"/>
        </w:rPr>
        <w:t xml:space="preserve">iscellaneous </w:t>
      </w:r>
      <w:r w:rsidR="00453D53">
        <w:rPr>
          <w:rFonts w:asciiTheme="majorHAnsi" w:eastAsia="Times New Roman" w:hAnsiTheme="majorHAnsi" w:cs="Times New Roman"/>
          <w:color w:val="000000"/>
        </w:rPr>
        <w:t>I</w:t>
      </w:r>
      <w:r w:rsidR="006A4E8B" w:rsidRPr="00E83CC7">
        <w:rPr>
          <w:rFonts w:asciiTheme="majorHAnsi" w:eastAsia="Times New Roman" w:hAnsiTheme="majorHAnsi" w:cs="Times New Roman"/>
          <w:color w:val="000000"/>
        </w:rPr>
        <w:t xml:space="preserve">ncome, also create dollar-for-dollar </w:t>
      </w:r>
      <w:r w:rsidR="00453D53">
        <w:rPr>
          <w:rFonts w:asciiTheme="majorHAnsi" w:eastAsia="Times New Roman" w:hAnsiTheme="majorHAnsi" w:cs="Times New Roman"/>
          <w:color w:val="000000"/>
        </w:rPr>
        <w:t>S</w:t>
      </w:r>
      <w:r w:rsidR="006A4E8B" w:rsidRPr="00E83CC7">
        <w:rPr>
          <w:rFonts w:asciiTheme="majorHAnsi" w:eastAsia="Times New Roman" w:hAnsiTheme="majorHAnsi" w:cs="Times New Roman"/>
          <w:color w:val="000000"/>
        </w:rPr>
        <w:t xml:space="preserve">pending </w:t>
      </w:r>
      <w:r w:rsidR="00453D53">
        <w:rPr>
          <w:rFonts w:asciiTheme="majorHAnsi" w:eastAsia="Times New Roman" w:hAnsiTheme="majorHAnsi" w:cs="Times New Roman"/>
          <w:color w:val="000000"/>
        </w:rPr>
        <w:t>A</w:t>
      </w:r>
      <w:r w:rsidR="006A4E8B" w:rsidRPr="00E83CC7">
        <w:rPr>
          <w:rFonts w:asciiTheme="majorHAnsi" w:eastAsia="Times New Roman" w:hAnsiTheme="majorHAnsi" w:cs="Times New Roman"/>
          <w:color w:val="000000"/>
        </w:rPr>
        <w:t>uthority</w:t>
      </w:r>
      <w:r>
        <w:rPr>
          <w:rFonts w:asciiTheme="majorHAnsi" w:eastAsia="Times New Roman" w:hAnsiTheme="majorHAnsi" w:cs="Times New Roman"/>
          <w:color w:val="000000"/>
        </w:rPr>
        <w:t xml:space="preserve"> when the funds are actually received</w:t>
      </w:r>
      <w:r w:rsidR="006A4E8B" w:rsidRPr="00E83CC7">
        <w:rPr>
          <w:rFonts w:asciiTheme="majorHAnsi" w:eastAsia="Times New Roman" w:hAnsiTheme="majorHAnsi" w:cs="Times New Roman"/>
          <w:color w:val="000000"/>
        </w:rPr>
        <w:t>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="006A4E8B" w:rsidRPr="00E83CC7">
        <w:rPr>
          <w:rFonts w:asciiTheme="majorHAnsi" w:eastAsia="Times New Roman" w:hAnsiTheme="majorHAnsi" w:cs="Times New Roman"/>
          <w:color w:val="000000"/>
        </w:rPr>
        <w:t>School board</w:t>
      </w:r>
      <w:r w:rsidR="00E83CC7">
        <w:rPr>
          <w:rFonts w:asciiTheme="majorHAnsi" w:eastAsia="Times New Roman" w:hAnsiTheme="majorHAnsi" w:cs="Times New Roman"/>
          <w:color w:val="000000"/>
        </w:rPr>
        <w:t>s</w:t>
      </w:r>
      <w:r w:rsidR="006A4E8B" w:rsidRPr="00E83CC7">
        <w:rPr>
          <w:rFonts w:asciiTheme="majorHAnsi" w:eastAsia="Times New Roman" w:hAnsiTheme="majorHAnsi" w:cs="Times New Roman"/>
          <w:color w:val="000000"/>
        </w:rPr>
        <w:t xml:space="preserve"> can set goals or parameters around Unspent Budget Authority targets to clarify their level of comfort with a specific range of Unspent Budget Authority. </w:t>
      </w:r>
    </w:p>
    <w:p w:rsidR="0023744D" w:rsidRDefault="0023744D" w:rsidP="009C1B3A">
      <w:pPr>
        <w:spacing w:after="0" w:line="240" w:lineRule="auto"/>
        <w:outlineLvl w:val="4"/>
        <w:rPr>
          <w:rFonts w:asciiTheme="majorHAnsi" w:eastAsia="Times New Roman" w:hAnsiTheme="majorHAnsi" w:cs="Times New Roman"/>
          <w:color w:val="000000"/>
        </w:rPr>
      </w:pPr>
    </w:p>
    <w:p w:rsidR="0023744D" w:rsidRDefault="0023744D" w:rsidP="009C1B3A">
      <w:pPr>
        <w:spacing w:after="0" w:line="240" w:lineRule="auto"/>
        <w:outlineLvl w:val="4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Word of caution: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>
        <w:rPr>
          <w:rFonts w:asciiTheme="majorHAnsi" w:eastAsia="Times New Roman" w:hAnsiTheme="majorHAnsi" w:cs="Times New Roman"/>
          <w:color w:val="000000"/>
        </w:rPr>
        <w:t xml:space="preserve">Special education expenditures </w:t>
      </w:r>
      <w:r w:rsidR="00522D30">
        <w:rPr>
          <w:rFonts w:asciiTheme="majorHAnsi" w:eastAsia="Times New Roman" w:hAnsiTheme="majorHAnsi" w:cs="Times New Roman"/>
          <w:color w:val="000000"/>
        </w:rPr>
        <w:t xml:space="preserve">which exceed </w:t>
      </w:r>
      <w:r>
        <w:rPr>
          <w:rFonts w:asciiTheme="majorHAnsi" w:eastAsia="Times New Roman" w:hAnsiTheme="majorHAnsi" w:cs="Times New Roman"/>
          <w:color w:val="000000"/>
        </w:rPr>
        <w:t xml:space="preserve">revenues </w:t>
      </w:r>
      <w:r w:rsidR="00522D30">
        <w:rPr>
          <w:rFonts w:asciiTheme="majorHAnsi" w:eastAsia="Times New Roman" w:hAnsiTheme="majorHAnsi" w:cs="Times New Roman"/>
          <w:color w:val="000000"/>
        </w:rPr>
        <w:t xml:space="preserve">generated by special education weighting </w:t>
      </w:r>
      <w:r>
        <w:rPr>
          <w:rFonts w:asciiTheme="majorHAnsi" w:eastAsia="Times New Roman" w:hAnsiTheme="majorHAnsi" w:cs="Times New Roman"/>
          <w:color w:val="000000"/>
        </w:rPr>
        <w:t>create spending authority as dollars are spent due to the granting of spending authority by the SBRC.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>
        <w:rPr>
          <w:rFonts w:asciiTheme="majorHAnsi" w:eastAsia="Times New Roman" w:hAnsiTheme="majorHAnsi" w:cs="Times New Roman"/>
          <w:color w:val="000000"/>
        </w:rPr>
        <w:t xml:space="preserve">Similarly, reducing special education expenditures below the </w:t>
      </w:r>
      <w:r w:rsidR="00522D30">
        <w:rPr>
          <w:rFonts w:asciiTheme="majorHAnsi" w:eastAsia="Times New Roman" w:hAnsiTheme="majorHAnsi" w:cs="Times New Roman"/>
          <w:color w:val="000000"/>
        </w:rPr>
        <w:t xml:space="preserve">revenues generated by the </w:t>
      </w:r>
      <w:r>
        <w:rPr>
          <w:rFonts w:asciiTheme="majorHAnsi" w:eastAsia="Times New Roman" w:hAnsiTheme="majorHAnsi" w:cs="Times New Roman"/>
          <w:color w:val="000000"/>
        </w:rPr>
        <w:t xml:space="preserve">weighting does not increase spending authority </w:t>
      </w:r>
      <w:r w:rsidR="00522D30">
        <w:rPr>
          <w:rFonts w:asciiTheme="majorHAnsi" w:eastAsia="Times New Roman" w:hAnsiTheme="majorHAnsi" w:cs="Times New Roman"/>
          <w:color w:val="000000"/>
        </w:rPr>
        <w:t>for the</w:t>
      </w:r>
      <w:r>
        <w:rPr>
          <w:rFonts w:asciiTheme="majorHAnsi" w:eastAsia="Times New Roman" w:hAnsiTheme="majorHAnsi" w:cs="Times New Roman"/>
          <w:color w:val="000000"/>
        </w:rPr>
        <w:t xml:space="preserve"> district.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>
        <w:rPr>
          <w:rFonts w:asciiTheme="majorHAnsi" w:eastAsia="Times New Roman" w:hAnsiTheme="majorHAnsi" w:cs="Times New Roman"/>
          <w:color w:val="000000"/>
        </w:rPr>
        <w:t xml:space="preserve">Cuts to special education staff and expenditures do not “free up” spending authority or save </w:t>
      </w:r>
      <w:r w:rsidR="00453D53">
        <w:rPr>
          <w:rFonts w:asciiTheme="majorHAnsi" w:eastAsia="Times New Roman" w:hAnsiTheme="majorHAnsi" w:cs="Times New Roman"/>
          <w:color w:val="000000"/>
        </w:rPr>
        <w:t>General Fund</w:t>
      </w:r>
      <w:r>
        <w:rPr>
          <w:rFonts w:asciiTheme="majorHAnsi" w:eastAsia="Times New Roman" w:hAnsiTheme="majorHAnsi" w:cs="Times New Roman"/>
          <w:color w:val="000000"/>
        </w:rPr>
        <w:t xml:space="preserve"> spending authority for other purposes.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>
        <w:rPr>
          <w:rFonts w:asciiTheme="majorHAnsi" w:eastAsia="Times New Roman" w:hAnsiTheme="majorHAnsi" w:cs="Times New Roman"/>
          <w:color w:val="000000"/>
        </w:rPr>
        <w:t>A school district’s unspent budget authority is not impacted by special education expenditures</w:t>
      </w:r>
      <w:r w:rsidR="00485F96">
        <w:rPr>
          <w:rFonts w:asciiTheme="majorHAnsi" w:eastAsia="Times New Roman" w:hAnsiTheme="majorHAnsi" w:cs="Times New Roman"/>
          <w:color w:val="000000"/>
        </w:rPr>
        <w:t>, but its solvency ratio is</w:t>
      </w:r>
      <w:r w:rsidR="00453D53">
        <w:rPr>
          <w:rFonts w:asciiTheme="majorHAnsi" w:eastAsia="Times New Roman" w:hAnsiTheme="majorHAnsi" w:cs="Times New Roman"/>
          <w:color w:val="000000"/>
        </w:rPr>
        <w:t xml:space="preserve"> impacted</w:t>
      </w:r>
      <w:r w:rsidR="00485F96">
        <w:rPr>
          <w:rFonts w:asciiTheme="majorHAnsi" w:eastAsia="Times New Roman" w:hAnsiTheme="majorHAnsi" w:cs="Times New Roman"/>
          <w:color w:val="000000"/>
        </w:rPr>
        <w:t xml:space="preserve"> as excess expenditures are not funded by the state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="00AE2545">
        <w:rPr>
          <w:rFonts w:asciiTheme="majorHAnsi" w:eastAsia="Times New Roman" w:hAnsiTheme="majorHAnsi" w:cs="Times New Roman"/>
          <w:color w:val="000000"/>
        </w:rPr>
        <w:t>Additionally</w:t>
      </w:r>
      <w:r w:rsidR="00453D53">
        <w:rPr>
          <w:rFonts w:asciiTheme="majorHAnsi" w:eastAsia="Times New Roman" w:hAnsiTheme="majorHAnsi" w:cs="Times New Roman"/>
          <w:color w:val="000000"/>
        </w:rPr>
        <w:t>,</w:t>
      </w:r>
      <w:r w:rsidR="00AE2545">
        <w:rPr>
          <w:rFonts w:asciiTheme="majorHAnsi" w:eastAsia="Times New Roman" w:hAnsiTheme="majorHAnsi" w:cs="Times New Roman"/>
          <w:color w:val="000000"/>
        </w:rPr>
        <w:t xml:space="preserve"> there are certain funding sources which </w:t>
      </w:r>
      <w:r w:rsidR="009308BA">
        <w:rPr>
          <w:rFonts w:asciiTheme="majorHAnsi" w:eastAsia="Times New Roman" w:hAnsiTheme="majorHAnsi" w:cs="Times New Roman"/>
          <w:color w:val="000000"/>
        </w:rPr>
        <w:t xml:space="preserve">can </w:t>
      </w:r>
      <w:r w:rsidR="00AE2545">
        <w:rPr>
          <w:rFonts w:asciiTheme="majorHAnsi" w:eastAsia="Times New Roman" w:hAnsiTheme="majorHAnsi" w:cs="Times New Roman"/>
          <w:color w:val="000000"/>
        </w:rPr>
        <w:t>be carried forward from one year to the next and those where a district is penalized for doing so (</w:t>
      </w:r>
      <w:proofErr w:type="spellStart"/>
      <w:r w:rsidR="00AE2545">
        <w:rPr>
          <w:rFonts w:asciiTheme="majorHAnsi" w:eastAsia="Times New Roman" w:hAnsiTheme="majorHAnsi" w:cs="Times New Roman"/>
          <w:color w:val="000000"/>
        </w:rPr>
        <w:t>eg</w:t>
      </w:r>
      <w:proofErr w:type="spellEnd"/>
      <w:r w:rsidR="00AE2545">
        <w:rPr>
          <w:rFonts w:asciiTheme="majorHAnsi" w:eastAsia="Times New Roman" w:hAnsiTheme="majorHAnsi" w:cs="Times New Roman"/>
          <w:color w:val="000000"/>
        </w:rPr>
        <w:t>, dropout prevention).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="00AE2545">
        <w:rPr>
          <w:rFonts w:asciiTheme="majorHAnsi" w:eastAsia="Times New Roman" w:hAnsiTheme="majorHAnsi" w:cs="Times New Roman"/>
          <w:color w:val="000000"/>
        </w:rPr>
        <w:t>Maximizing resources for students requires knowing and prioritizing different requirements</w:t>
      </w:r>
      <w:r w:rsidR="00453D53">
        <w:rPr>
          <w:rFonts w:asciiTheme="majorHAnsi" w:eastAsia="Times New Roman" w:hAnsiTheme="majorHAnsi" w:cs="Times New Roman"/>
          <w:color w:val="000000"/>
        </w:rPr>
        <w:t>,</w:t>
      </w:r>
      <w:r w:rsidR="00AE2545">
        <w:rPr>
          <w:rFonts w:asciiTheme="majorHAnsi" w:eastAsia="Times New Roman" w:hAnsiTheme="majorHAnsi" w:cs="Times New Roman"/>
          <w:color w:val="000000"/>
        </w:rPr>
        <w:t xml:space="preserve"> even within the </w:t>
      </w:r>
      <w:r w:rsidR="00453D53">
        <w:rPr>
          <w:rFonts w:asciiTheme="majorHAnsi" w:eastAsia="Times New Roman" w:hAnsiTheme="majorHAnsi" w:cs="Times New Roman"/>
          <w:color w:val="000000"/>
        </w:rPr>
        <w:t>General Fund</w:t>
      </w:r>
      <w:r w:rsidR="00AE2545">
        <w:rPr>
          <w:rFonts w:asciiTheme="majorHAnsi" w:eastAsia="Times New Roman" w:hAnsiTheme="majorHAnsi" w:cs="Times New Roman"/>
          <w:color w:val="000000"/>
        </w:rPr>
        <w:t>.</w:t>
      </w:r>
    </w:p>
    <w:p w:rsidR="005339BA" w:rsidRDefault="005339BA" w:rsidP="005339B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</w:p>
    <w:p w:rsidR="005339BA" w:rsidRDefault="005339BA" w:rsidP="005339B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</w:p>
    <w:p w:rsidR="00453D53" w:rsidRDefault="00453D53">
      <w:pPr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  <w:br w:type="page"/>
      </w:r>
    </w:p>
    <w:p w:rsidR="003C7A62" w:rsidRPr="00646370" w:rsidRDefault="003C7A62" w:rsidP="009C1B3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  <w:r w:rsidRPr="00646370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  <w:lastRenderedPageBreak/>
        <w:t>Solvency Ratio</w:t>
      </w:r>
    </w:p>
    <w:p w:rsidR="00C83D99" w:rsidRDefault="006A4E8B" w:rsidP="009C1B3A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E83CC7">
        <w:rPr>
          <w:rFonts w:asciiTheme="majorHAnsi" w:eastAsia="Times New Roman" w:hAnsiTheme="majorHAnsi" w:cs="Times New Roman"/>
          <w:color w:val="000000"/>
        </w:rPr>
        <w:t xml:space="preserve">Solvency </w:t>
      </w:r>
      <w:r w:rsidR="00453D53">
        <w:rPr>
          <w:rFonts w:asciiTheme="majorHAnsi" w:eastAsia="Times New Roman" w:hAnsiTheme="majorHAnsi" w:cs="Times New Roman"/>
          <w:color w:val="000000"/>
        </w:rPr>
        <w:t>R</w:t>
      </w:r>
      <w:r w:rsidRPr="00E83CC7">
        <w:rPr>
          <w:rFonts w:asciiTheme="majorHAnsi" w:eastAsia="Times New Roman" w:hAnsiTheme="majorHAnsi" w:cs="Times New Roman"/>
          <w:color w:val="000000"/>
        </w:rPr>
        <w:t>atio is a calculation us</w:t>
      </w:r>
      <w:r w:rsidR="008D4BAA" w:rsidRPr="00E83CC7">
        <w:rPr>
          <w:rFonts w:asciiTheme="majorHAnsi" w:eastAsia="Times New Roman" w:hAnsiTheme="majorHAnsi" w:cs="Times New Roman"/>
          <w:color w:val="000000"/>
        </w:rPr>
        <w:t>ed to assess financial health.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="008D4BAA" w:rsidRPr="00E83CC7">
        <w:rPr>
          <w:rFonts w:asciiTheme="majorHAnsi" w:eastAsia="Times New Roman" w:hAnsiTheme="majorHAnsi" w:cs="Times New Roman"/>
          <w:color w:val="000000"/>
        </w:rPr>
        <w:t>The calculation measure</w:t>
      </w:r>
      <w:r w:rsidR="00E83CC7">
        <w:rPr>
          <w:rFonts w:asciiTheme="majorHAnsi" w:eastAsia="Times New Roman" w:hAnsiTheme="majorHAnsi" w:cs="Times New Roman"/>
          <w:color w:val="000000"/>
        </w:rPr>
        <w:t>s</w:t>
      </w:r>
      <w:r w:rsidR="008D4BAA" w:rsidRPr="00E83CC7">
        <w:rPr>
          <w:rFonts w:asciiTheme="majorHAnsi" w:eastAsia="Times New Roman" w:hAnsiTheme="majorHAnsi" w:cs="Times New Roman"/>
          <w:color w:val="000000"/>
        </w:rPr>
        <w:t xml:space="preserve"> the relationship of ending </w:t>
      </w:r>
      <w:r w:rsidR="00C83D99">
        <w:rPr>
          <w:rFonts w:asciiTheme="majorHAnsi" w:eastAsia="Times New Roman" w:hAnsiTheme="majorHAnsi" w:cs="Times New Roman"/>
          <w:color w:val="000000"/>
        </w:rPr>
        <w:t>un</w:t>
      </w:r>
      <w:r w:rsidR="00A14D6D">
        <w:rPr>
          <w:rFonts w:asciiTheme="majorHAnsi" w:eastAsia="Times New Roman" w:hAnsiTheme="majorHAnsi" w:cs="Times New Roman"/>
          <w:color w:val="000000"/>
        </w:rPr>
        <w:t>committ</w:t>
      </w:r>
      <w:r w:rsidR="00C83D99">
        <w:rPr>
          <w:rFonts w:asciiTheme="majorHAnsi" w:eastAsia="Times New Roman" w:hAnsiTheme="majorHAnsi" w:cs="Times New Roman"/>
          <w:color w:val="000000"/>
        </w:rPr>
        <w:t>ed fund</w:t>
      </w:r>
      <w:r w:rsidR="008D4BAA" w:rsidRPr="00E83CC7">
        <w:rPr>
          <w:rFonts w:asciiTheme="majorHAnsi" w:eastAsia="Times New Roman" w:hAnsiTheme="majorHAnsi" w:cs="Times New Roman"/>
          <w:color w:val="000000"/>
        </w:rPr>
        <w:t xml:space="preserve"> balance to revenues as a percentage </w:t>
      </w:r>
      <w:r w:rsidR="00F77FD8">
        <w:rPr>
          <w:rFonts w:asciiTheme="majorHAnsi" w:eastAsia="Times New Roman" w:hAnsiTheme="majorHAnsi" w:cs="Times New Roman"/>
          <w:color w:val="000000"/>
        </w:rPr>
        <w:t>for the fiscal year:</w:t>
      </w:r>
    </w:p>
    <w:p w:rsidR="002761A6" w:rsidRPr="00267947" w:rsidRDefault="002761A6" w:rsidP="009C1B3A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C83D99" w:rsidRPr="00267947" w:rsidRDefault="00267947" w:rsidP="009C1B3A">
      <w:pPr>
        <w:spacing w:after="0" w:line="240" w:lineRule="auto"/>
        <w:ind w:firstLine="720"/>
        <w:jc w:val="center"/>
        <w:rPr>
          <w:rFonts w:asciiTheme="majorHAnsi" w:eastAsia="Times New Roman" w:hAnsiTheme="majorHAnsi" w:cs="Times New Roman"/>
          <w:color w:val="000000"/>
        </w:rPr>
      </w:pPr>
      <w:r w:rsidRPr="00267947">
        <w:rPr>
          <w:rFonts w:asciiTheme="majorHAnsi" w:eastAsia="Times New Roman" w:hAnsiTheme="majorHAnsi" w:cs="Times New Roman"/>
          <w:color w:val="000000"/>
        </w:rPr>
        <w:t xml:space="preserve">Unassigned </w:t>
      </w:r>
      <w:r w:rsidR="00453D53">
        <w:rPr>
          <w:rFonts w:asciiTheme="majorHAnsi" w:eastAsia="Times New Roman" w:hAnsiTheme="majorHAnsi" w:cs="Times New Roman"/>
          <w:color w:val="000000"/>
        </w:rPr>
        <w:t>General Fund</w:t>
      </w:r>
      <w:r w:rsidRPr="00267947">
        <w:rPr>
          <w:rFonts w:asciiTheme="majorHAnsi" w:eastAsia="Times New Roman" w:hAnsiTheme="majorHAnsi" w:cs="Times New Roman"/>
          <w:color w:val="000000"/>
        </w:rPr>
        <w:t xml:space="preserve"> Balance</w:t>
      </w:r>
      <w:r w:rsidR="00056F4C" w:rsidRPr="00267947">
        <w:rPr>
          <w:rFonts w:asciiTheme="majorHAnsi" w:eastAsia="Times New Roman" w:hAnsiTheme="majorHAnsi" w:cs="Times New Roman"/>
          <w:color w:val="000000"/>
        </w:rPr>
        <w:t xml:space="preserve"> </w:t>
      </w:r>
      <w:r w:rsidRPr="00267947">
        <w:rPr>
          <w:rFonts w:asciiTheme="majorHAnsi" w:eastAsia="Times New Roman" w:hAnsiTheme="majorHAnsi" w:cs="Times New Roman"/>
          <w:i/>
          <w:color w:val="000000"/>
        </w:rPr>
        <w:t xml:space="preserve">PLUS </w:t>
      </w:r>
      <w:r w:rsidRPr="00267947">
        <w:rPr>
          <w:rFonts w:asciiTheme="majorHAnsi" w:eastAsia="Times New Roman" w:hAnsiTheme="majorHAnsi" w:cs="Times New Roman"/>
          <w:color w:val="000000"/>
        </w:rPr>
        <w:t xml:space="preserve">Assigned </w:t>
      </w:r>
      <w:r w:rsidR="00453D53">
        <w:rPr>
          <w:rFonts w:asciiTheme="majorHAnsi" w:eastAsia="Times New Roman" w:hAnsiTheme="majorHAnsi" w:cs="Times New Roman"/>
          <w:color w:val="000000"/>
        </w:rPr>
        <w:t>General Fund</w:t>
      </w:r>
      <w:r w:rsidRPr="00267947">
        <w:rPr>
          <w:rFonts w:asciiTheme="majorHAnsi" w:eastAsia="Times New Roman" w:hAnsiTheme="majorHAnsi" w:cs="Times New Roman"/>
          <w:color w:val="000000"/>
        </w:rPr>
        <w:t xml:space="preserve"> Balance</w:t>
      </w:r>
    </w:p>
    <w:p w:rsidR="00267947" w:rsidRPr="00267947" w:rsidRDefault="00267947" w:rsidP="009C1B3A">
      <w:pPr>
        <w:spacing w:after="0" w:line="240" w:lineRule="auto"/>
        <w:ind w:firstLine="720"/>
        <w:jc w:val="center"/>
        <w:rPr>
          <w:rFonts w:asciiTheme="majorHAnsi" w:eastAsia="Times New Roman" w:hAnsiTheme="majorHAnsi" w:cs="Times New Roman"/>
          <w:i/>
          <w:color w:val="000000"/>
        </w:rPr>
      </w:pPr>
      <w:r w:rsidRPr="00267947">
        <w:rPr>
          <w:rFonts w:asciiTheme="majorHAnsi" w:eastAsia="Times New Roman" w:hAnsiTheme="majorHAnsi" w:cs="Times New Roman"/>
          <w:i/>
          <w:color w:val="000000"/>
        </w:rPr>
        <w:t>DIVIDED BY</w:t>
      </w:r>
    </w:p>
    <w:p w:rsidR="00056F4C" w:rsidRDefault="00056F4C" w:rsidP="009C1B3A">
      <w:pPr>
        <w:spacing w:after="0" w:line="240" w:lineRule="auto"/>
        <w:ind w:firstLine="720"/>
        <w:jc w:val="center"/>
        <w:rPr>
          <w:rFonts w:asciiTheme="majorHAnsi" w:eastAsia="Times New Roman" w:hAnsiTheme="majorHAnsi" w:cs="Times New Roman"/>
          <w:color w:val="000000"/>
        </w:rPr>
      </w:pPr>
      <w:r w:rsidRPr="00267947">
        <w:rPr>
          <w:rFonts w:asciiTheme="majorHAnsi" w:eastAsia="Times New Roman" w:hAnsiTheme="majorHAnsi" w:cs="Times New Roman"/>
          <w:color w:val="000000"/>
        </w:rPr>
        <w:t xml:space="preserve">Total </w:t>
      </w:r>
      <w:r w:rsidR="00453D53">
        <w:rPr>
          <w:rFonts w:asciiTheme="majorHAnsi" w:eastAsia="Times New Roman" w:hAnsiTheme="majorHAnsi" w:cs="Times New Roman"/>
          <w:color w:val="000000"/>
        </w:rPr>
        <w:t>General Fund</w:t>
      </w:r>
      <w:r w:rsidR="00267947" w:rsidRPr="00267947">
        <w:rPr>
          <w:rFonts w:asciiTheme="majorHAnsi" w:eastAsia="Times New Roman" w:hAnsiTheme="majorHAnsi" w:cs="Times New Roman"/>
          <w:color w:val="000000"/>
        </w:rPr>
        <w:t xml:space="preserve"> Revenues</w:t>
      </w:r>
      <w:r w:rsidR="002761A6" w:rsidRPr="00267947">
        <w:rPr>
          <w:rFonts w:asciiTheme="majorHAnsi" w:eastAsia="Times New Roman" w:hAnsiTheme="majorHAnsi" w:cs="Times New Roman"/>
          <w:color w:val="000000"/>
        </w:rPr>
        <w:t xml:space="preserve"> </w:t>
      </w:r>
      <w:r w:rsidR="00267947" w:rsidRPr="00267947">
        <w:rPr>
          <w:rFonts w:asciiTheme="majorHAnsi" w:eastAsia="Times New Roman" w:hAnsiTheme="majorHAnsi" w:cs="Times New Roman"/>
          <w:i/>
          <w:color w:val="000000"/>
        </w:rPr>
        <w:t>LESS</w:t>
      </w:r>
      <w:r w:rsidR="002761A6" w:rsidRPr="00267947">
        <w:rPr>
          <w:rFonts w:asciiTheme="majorHAnsi" w:eastAsia="Times New Roman" w:hAnsiTheme="majorHAnsi" w:cs="Times New Roman"/>
          <w:color w:val="000000"/>
        </w:rPr>
        <w:t xml:space="preserve"> AEA Flow-Through</w:t>
      </w:r>
    </w:p>
    <w:p w:rsidR="00F77FD8" w:rsidRDefault="00F77FD8" w:rsidP="009C1B3A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E83CC7" w:rsidRDefault="00056F4C" w:rsidP="009C1B3A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 xml:space="preserve">The Solvency Ratio </w:t>
      </w:r>
      <w:r w:rsidR="006A4E8B" w:rsidRPr="00E83CC7">
        <w:rPr>
          <w:rFonts w:asciiTheme="majorHAnsi" w:eastAsia="Times New Roman" w:hAnsiTheme="majorHAnsi" w:cs="Times New Roman"/>
          <w:color w:val="000000"/>
        </w:rPr>
        <w:t xml:space="preserve">is a </w:t>
      </w:r>
      <w:r w:rsidR="008D4BAA" w:rsidRPr="00E83CC7">
        <w:rPr>
          <w:rFonts w:asciiTheme="majorHAnsi" w:eastAsia="Times New Roman" w:hAnsiTheme="majorHAnsi" w:cs="Times New Roman"/>
          <w:color w:val="000000"/>
        </w:rPr>
        <w:t xml:space="preserve">snapshot </w:t>
      </w:r>
      <w:r w:rsidR="006A4E8B" w:rsidRPr="00E83CC7">
        <w:rPr>
          <w:rFonts w:asciiTheme="majorHAnsi" w:eastAsia="Times New Roman" w:hAnsiTheme="majorHAnsi" w:cs="Times New Roman"/>
          <w:color w:val="000000"/>
        </w:rPr>
        <w:t>point</w:t>
      </w:r>
      <w:r w:rsidR="008D4BAA" w:rsidRPr="00E83CC7">
        <w:rPr>
          <w:rFonts w:asciiTheme="majorHAnsi" w:eastAsia="Times New Roman" w:hAnsiTheme="majorHAnsi" w:cs="Times New Roman"/>
          <w:color w:val="000000"/>
        </w:rPr>
        <w:t>-</w:t>
      </w:r>
      <w:r w:rsidR="006A4E8B" w:rsidRPr="00E83CC7">
        <w:rPr>
          <w:rFonts w:asciiTheme="majorHAnsi" w:eastAsia="Times New Roman" w:hAnsiTheme="majorHAnsi" w:cs="Times New Roman"/>
          <w:color w:val="000000"/>
        </w:rPr>
        <w:t>in</w:t>
      </w:r>
      <w:r w:rsidR="008D4BAA" w:rsidRPr="00E83CC7">
        <w:rPr>
          <w:rFonts w:asciiTheme="majorHAnsi" w:eastAsia="Times New Roman" w:hAnsiTheme="majorHAnsi" w:cs="Times New Roman"/>
          <w:color w:val="000000"/>
        </w:rPr>
        <w:t>-</w:t>
      </w:r>
      <w:r w:rsidR="006A4E8B" w:rsidRPr="00E83CC7">
        <w:rPr>
          <w:rFonts w:asciiTheme="majorHAnsi" w:eastAsia="Times New Roman" w:hAnsiTheme="majorHAnsi" w:cs="Times New Roman"/>
          <w:color w:val="000000"/>
        </w:rPr>
        <w:t>time measure of the percentage of revenue remaining, assuming the district closed its doors on June 30 of the fiscal year, after gathering all the year’s revenue</w:t>
      </w:r>
      <w:r w:rsidR="00AC50E4">
        <w:rPr>
          <w:rFonts w:asciiTheme="majorHAnsi" w:eastAsia="Times New Roman" w:hAnsiTheme="majorHAnsi" w:cs="Times New Roman"/>
          <w:color w:val="000000"/>
        </w:rPr>
        <w:t>s</w:t>
      </w:r>
      <w:r w:rsidR="006A4E8B" w:rsidRPr="00E83CC7">
        <w:rPr>
          <w:rFonts w:asciiTheme="majorHAnsi" w:eastAsia="Times New Roman" w:hAnsiTheme="majorHAnsi" w:cs="Times New Roman"/>
          <w:color w:val="000000"/>
        </w:rPr>
        <w:t xml:space="preserve"> and pay</w:t>
      </w:r>
      <w:r w:rsidR="00AC50E4">
        <w:rPr>
          <w:rFonts w:asciiTheme="majorHAnsi" w:eastAsia="Times New Roman" w:hAnsiTheme="majorHAnsi" w:cs="Times New Roman"/>
          <w:color w:val="000000"/>
        </w:rPr>
        <w:t>ing all the year’s obligations.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="003C7A62" w:rsidRPr="00E83CC7">
        <w:rPr>
          <w:rFonts w:asciiTheme="majorHAnsi" w:eastAsia="Times New Roman" w:hAnsiTheme="majorHAnsi" w:cs="Times New Roman"/>
          <w:color w:val="000000"/>
        </w:rPr>
        <w:t>A district can</w:t>
      </w:r>
      <w:r w:rsidR="006A4E8B" w:rsidRPr="00E83CC7">
        <w:rPr>
          <w:rFonts w:asciiTheme="majorHAnsi" w:eastAsia="Times New Roman" w:hAnsiTheme="majorHAnsi" w:cs="Times New Roman"/>
          <w:color w:val="000000"/>
        </w:rPr>
        <w:t xml:space="preserve"> only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 impact its solvency ratio </w:t>
      </w:r>
      <w:r w:rsidR="008D4BAA" w:rsidRPr="00E83CC7">
        <w:rPr>
          <w:rFonts w:asciiTheme="majorHAnsi" w:eastAsia="Times New Roman" w:hAnsiTheme="majorHAnsi" w:cs="Times New Roman"/>
          <w:color w:val="000000"/>
        </w:rPr>
        <w:t xml:space="preserve">by 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either </w:t>
      </w:r>
      <w:r w:rsidR="008D4BAA" w:rsidRPr="00E83CC7">
        <w:rPr>
          <w:rFonts w:asciiTheme="majorHAnsi" w:eastAsia="Times New Roman" w:hAnsiTheme="majorHAnsi" w:cs="Times New Roman"/>
          <w:color w:val="000000"/>
        </w:rPr>
        <w:t>i</w:t>
      </w:r>
      <w:r w:rsidR="003C7A62" w:rsidRPr="00E83CC7">
        <w:rPr>
          <w:rFonts w:asciiTheme="majorHAnsi" w:eastAsia="Times New Roman" w:hAnsiTheme="majorHAnsi" w:cs="Times New Roman"/>
          <w:color w:val="000000"/>
        </w:rPr>
        <w:t>ncreasing revenues or by reducing expenditures</w:t>
      </w:r>
      <w:r w:rsidR="008D4BAA" w:rsidRPr="00E83CC7">
        <w:rPr>
          <w:rFonts w:asciiTheme="majorHAnsi" w:eastAsia="Times New Roman" w:hAnsiTheme="majorHAnsi" w:cs="Times New Roman"/>
          <w:color w:val="000000"/>
        </w:rPr>
        <w:t xml:space="preserve"> (or a combination of both)</w:t>
      </w:r>
      <w:r w:rsidR="003C7A62" w:rsidRPr="00E83CC7">
        <w:rPr>
          <w:rFonts w:asciiTheme="majorHAnsi" w:eastAsia="Times New Roman" w:hAnsiTheme="majorHAnsi" w:cs="Times New Roman"/>
          <w:color w:val="000000"/>
        </w:rPr>
        <w:t>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A district may </w:t>
      </w:r>
      <w:r w:rsidR="006A4E8B" w:rsidRPr="00E83CC7">
        <w:rPr>
          <w:rFonts w:asciiTheme="majorHAnsi" w:eastAsia="Times New Roman" w:hAnsiTheme="majorHAnsi" w:cs="Times New Roman"/>
          <w:color w:val="000000"/>
        </w:rPr>
        <w:t>choose t</w:t>
      </w:r>
      <w:r w:rsidR="003C7A62" w:rsidRPr="00E83CC7">
        <w:rPr>
          <w:rFonts w:asciiTheme="majorHAnsi" w:eastAsia="Times New Roman" w:hAnsiTheme="majorHAnsi" w:cs="Times New Roman"/>
          <w:color w:val="000000"/>
        </w:rPr>
        <w:t>o generate additional revenues through t</w:t>
      </w:r>
      <w:r w:rsidR="006A4E8B" w:rsidRPr="00E83CC7">
        <w:rPr>
          <w:rFonts w:asciiTheme="majorHAnsi" w:eastAsia="Times New Roman" w:hAnsiTheme="majorHAnsi" w:cs="Times New Roman"/>
          <w:color w:val="000000"/>
        </w:rPr>
        <w:t xml:space="preserve">he use of the Cash Reserve Levy if they have not reached the statutory limit of 20% </w:t>
      </w:r>
      <w:r w:rsidR="00AC50E4">
        <w:rPr>
          <w:rFonts w:asciiTheme="majorHAnsi" w:eastAsia="Times New Roman" w:hAnsiTheme="majorHAnsi" w:cs="Times New Roman"/>
          <w:color w:val="000000"/>
        </w:rPr>
        <w:t xml:space="preserve">cash reserve relative to two prior years’ </w:t>
      </w:r>
      <w:r w:rsidR="00453D53">
        <w:rPr>
          <w:rFonts w:asciiTheme="majorHAnsi" w:eastAsia="Times New Roman" w:hAnsiTheme="majorHAnsi" w:cs="Times New Roman"/>
          <w:color w:val="000000"/>
        </w:rPr>
        <w:t>General Fund</w:t>
      </w:r>
      <w:r w:rsidR="00AC50E4">
        <w:rPr>
          <w:rFonts w:asciiTheme="majorHAnsi" w:eastAsia="Times New Roman" w:hAnsiTheme="majorHAnsi" w:cs="Times New Roman"/>
          <w:color w:val="000000"/>
        </w:rPr>
        <w:t xml:space="preserve"> expenditures</w:t>
      </w:r>
      <w:r w:rsidR="006A4E8B" w:rsidRPr="00E83CC7">
        <w:rPr>
          <w:rFonts w:asciiTheme="majorHAnsi" w:eastAsia="Times New Roman" w:hAnsiTheme="majorHAnsi" w:cs="Times New Roman"/>
          <w:color w:val="000000"/>
        </w:rPr>
        <w:t xml:space="preserve">. </w:t>
      </w:r>
    </w:p>
    <w:p w:rsidR="00E83CC7" w:rsidRDefault="00E83CC7" w:rsidP="009C1B3A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AC50E4" w:rsidRDefault="008D4BAA" w:rsidP="009C1B3A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E83CC7">
        <w:rPr>
          <w:rFonts w:asciiTheme="majorHAnsi" w:eastAsia="Times New Roman" w:hAnsiTheme="majorHAnsi" w:cs="Times New Roman"/>
          <w:color w:val="000000"/>
        </w:rPr>
        <w:t>Although a recommended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 range of solvency ratios </w:t>
      </w:r>
      <w:r w:rsidRPr="00E83CC7">
        <w:rPr>
          <w:rFonts w:asciiTheme="majorHAnsi" w:eastAsia="Times New Roman" w:hAnsiTheme="majorHAnsi" w:cs="Times New Roman"/>
          <w:color w:val="000000"/>
        </w:rPr>
        <w:t>has typically been somewhere between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 5 and </w:t>
      </w:r>
      <w:r w:rsidRPr="00E83CC7">
        <w:rPr>
          <w:rFonts w:asciiTheme="majorHAnsi" w:eastAsia="Times New Roman" w:hAnsiTheme="majorHAnsi" w:cs="Times New Roman"/>
          <w:color w:val="000000"/>
        </w:rPr>
        <w:t>15</w:t>
      </w:r>
      <w:r w:rsidR="00C83D99">
        <w:rPr>
          <w:rFonts w:asciiTheme="majorHAnsi" w:eastAsia="Times New Roman" w:hAnsiTheme="majorHAnsi" w:cs="Times New Roman"/>
          <w:color w:val="000000"/>
        </w:rPr>
        <w:t xml:space="preserve"> percent</w:t>
      </w:r>
      <w:r w:rsidR="001E3DF4">
        <w:rPr>
          <w:rFonts w:asciiTheme="majorHAnsi" w:eastAsia="Times New Roman" w:hAnsiTheme="majorHAnsi" w:cs="Times New Roman"/>
          <w:color w:val="000000"/>
        </w:rPr>
        <w:t xml:space="preserve"> </w:t>
      </w:r>
      <w:r w:rsidR="00C46284">
        <w:rPr>
          <w:rFonts w:asciiTheme="majorHAnsi" w:eastAsia="Times New Roman" w:hAnsiTheme="majorHAnsi" w:cs="Times New Roman"/>
          <w:color w:val="000000"/>
        </w:rPr>
        <w:t>(</w:t>
      </w:r>
      <w:r w:rsidR="001E3DF4">
        <w:rPr>
          <w:rFonts w:asciiTheme="majorHAnsi" w:eastAsia="Times New Roman" w:hAnsiTheme="majorHAnsi" w:cs="Times New Roman"/>
          <w:color w:val="000000"/>
        </w:rPr>
        <w:t>with</w:t>
      </w:r>
      <w:r w:rsidR="003C7A62" w:rsidRPr="00E83CC7">
        <w:rPr>
          <w:rFonts w:asciiTheme="majorHAnsi" w:eastAsia="Times New Roman" w:hAnsiTheme="majorHAnsi" w:cs="Times New Roman"/>
          <w:color w:val="000000"/>
        </w:rPr>
        <w:t xml:space="preserve"> </w:t>
      </w:r>
      <w:r w:rsidRPr="00E83CC7">
        <w:rPr>
          <w:rFonts w:asciiTheme="majorHAnsi" w:eastAsia="Times New Roman" w:hAnsiTheme="majorHAnsi" w:cs="Times New Roman"/>
          <w:color w:val="000000"/>
        </w:rPr>
        <w:t>the lower range considered “good” and the higher range considered “excellent”</w:t>
      </w:r>
      <w:r w:rsidR="00C46284">
        <w:rPr>
          <w:rFonts w:asciiTheme="majorHAnsi" w:eastAsia="Times New Roman" w:hAnsiTheme="majorHAnsi" w:cs="Times New Roman"/>
          <w:color w:val="000000"/>
        </w:rPr>
        <w:t>)</w:t>
      </w:r>
      <w:r w:rsidR="001E3DF4">
        <w:rPr>
          <w:rFonts w:asciiTheme="majorHAnsi" w:eastAsia="Times New Roman" w:hAnsiTheme="majorHAnsi" w:cs="Times New Roman"/>
          <w:color w:val="000000"/>
        </w:rPr>
        <w:t>, s</w:t>
      </w:r>
      <w:r w:rsidR="00E83CC7">
        <w:rPr>
          <w:rFonts w:asciiTheme="majorHAnsi" w:eastAsia="Times New Roman" w:hAnsiTheme="majorHAnsi" w:cs="Times New Roman"/>
          <w:color w:val="000000"/>
        </w:rPr>
        <w:t xml:space="preserve">chool boards should consider </w:t>
      </w:r>
      <w:r w:rsidRPr="00E83CC7">
        <w:rPr>
          <w:rFonts w:asciiTheme="majorHAnsi" w:eastAsia="Times New Roman" w:hAnsiTheme="majorHAnsi" w:cs="Times New Roman"/>
          <w:color w:val="000000"/>
        </w:rPr>
        <w:t>local reasons and comfort leve</w:t>
      </w:r>
      <w:r w:rsidR="00E83CC7">
        <w:rPr>
          <w:rFonts w:asciiTheme="majorHAnsi" w:eastAsia="Times New Roman" w:hAnsiTheme="majorHAnsi" w:cs="Times New Roman"/>
          <w:color w:val="000000"/>
        </w:rPr>
        <w:t xml:space="preserve">ls based on acceptable levels of risk </w:t>
      </w:r>
      <w:r w:rsidRPr="00E83CC7">
        <w:rPr>
          <w:rFonts w:asciiTheme="majorHAnsi" w:eastAsia="Times New Roman" w:hAnsiTheme="majorHAnsi" w:cs="Times New Roman"/>
          <w:color w:val="000000"/>
        </w:rPr>
        <w:t xml:space="preserve">that </w:t>
      </w:r>
      <w:r w:rsidR="00E83CC7">
        <w:rPr>
          <w:rFonts w:asciiTheme="majorHAnsi" w:eastAsia="Times New Roman" w:hAnsiTheme="majorHAnsi" w:cs="Times New Roman"/>
          <w:color w:val="000000"/>
        </w:rPr>
        <w:t>c</w:t>
      </w:r>
      <w:r w:rsidRPr="00E83CC7">
        <w:rPr>
          <w:rFonts w:asciiTheme="majorHAnsi" w:eastAsia="Times New Roman" w:hAnsiTheme="majorHAnsi" w:cs="Times New Roman"/>
          <w:color w:val="000000"/>
        </w:rPr>
        <w:t>ould justify a deviation from the recommended range.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</w:p>
    <w:p w:rsidR="00AC50E4" w:rsidRDefault="00AC50E4" w:rsidP="009C1B3A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3C7A62" w:rsidRDefault="008D4BAA" w:rsidP="009C1B3A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 w:rsidRPr="00E83CC7">
        <w:rPr>
          <w:rFonts w:asciiTheme="majorHAnsi" w:eastAsia="Times New Roman" w:hAnsiTheme="majorHAnsi" w:cs="Times New Roman"/>
          <w:color w:val="000000"/>
        </w:rPr>
        <w:t>Districts with a history of comparatively high solvency ratios should consider whether local experiences compel a continued higher solvency ratio trend and if so, at what expense</w:t>
      </w:r>
      <w:r w:rsidR="00AC50E4">
        <w:rPr>
          <w:rFonts w:asciiTheme="majorHAnsi" w:eastAsia="Times New Roman" w:hAnsiTheme="majorHAnsi" w:cs="Times New Roman"/>
          <w:color w:val="000000"/>
        </w:rPr>
        <w:t>?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="00AC50E4">
        <w:rPr>
          <w:rFonts w:asciiTheme="majorHAnsi" w:eastAsia="Times New Roman" w:hAnsiTheme="majorHAnsi" w:cs="Times New Roman"/>
          <w:color w:val="000000"/>
        </w:rPr>
        <w:t>Districts must consider competing issues</w:t>
      </w:r>
      <w:r w:rsidRPr="00E83CC7">
        <w:rPr>
          <w:rFonts w:asciiTheme="majorHAnsi" w:eastAsia="Times New Roman" w:hAnsiTheme="majorHAnsi" w:cs="Times New Roman"/>
          <w:color w:val="000000"/>
        </w:rPr>
        <w:t>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="00AC50E4">
        <w:rPr>
          <w:rFonts w:asciiTheme="majorHAnsi" w:eastAsia="Times New Roman" w:hAnsiTheme="majorHAnsi" w:cs="Times New Roman"/>
          <w:color w:val="000000"/>
        </w:rPr>
        <w:t>Do we need to spend more on learning opportunities for students?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="00AC50E4">
        <w:rPr>
          <w:rFonts w:asciiTheme="majorHAnsi" w:eastAsia="Times New Roman" w:hAnsiTheme="majorHAnsi" w:cs="Times New Roman"/>
          <w:color w:val="000000"/>
        </w:rPr>
        <w:t>Do we need to lower the level of taxation for district residents?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 w:rsidR="00AC50E4">
        <w:rPr>
          <w:rFonts w:asciiTheme="majorHAnsi" w:eastAsia="Times New Roman" w:hAnsiTheme="majorHAnsi" w:cs="Times New Roman"/>
          <w:color w:val="000000"/>
        </w:rPr>
        <w:t>In other words, is our high solvency ratio indicative of inadequate educational opportunities, taxation that is too high, or are we satisfied with the current positions in all of these areas?</w:t>
      </w:r>
    </w:p>
    <w:p w:rsidR="00AC50E4" w:rsidRDefault="00AC50E4" w:rsidP="009C1B3A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</w:p>
    <w:p w:rsidR="00AC50E4" w:rsidRDefault="00AC50E4" w:rsidP="009C1B3A">
      <w:pPr>
        <w:spacing w:after="0" w:line="240" w:lineRule="auto"/>
        <w:rPr>
          <w:rFonts w:asciiTheme="majorHAnsi" w:eastAsia="Times New Roman" w:hAnsiTheme="majorHAnsi" w:cs="Times New Roman"/>
          <w:color w:val="000000"/>
        </w:rPr>
      </w:pPr>
      <w:r>
        <w:rPr>
          <w:rFonts w:asciiTheme="majorHAnsi" w:eastAsia="Times New Roman" w:hAnsiTheme="majorHAnsi" w:cs="Times New Roman"/>
          <w:color w:val="000000"/>
        </w:rPr>
        <w:t>An important caution: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>
        <w:rPr>
          <w:rFonts w:asciiTheme="majorHAnsi" w:eastAsia="Times New Roman" w:hAnsiTheme="majorHAnsi" w:cs="Times New Roman"/>
          <w:color w:val="000000"/>
        </w:rPr>
        <w:t>solvency ratio only relates to the relative fund balance of a district, so is not indicative of the spending authority position of the district.</w:t>
      </w:r>
      <w:r w:rsidR="00CF2E43">
        <w:rPr>
          <w:rFonts w:asciiTheme="majorHAnsi" w:eastAsia="Times New Roman" w:hAnsiTheme="majorHAnsi" w:cs="Times New Roman"/>
          <w:color w:val="000000"/>
        </w:rPr>
        <w:t xml:space="preserve"> </w:t>
      </w:r>
      <w:r>
        <w:rPr>
          <w:rFonts w:asciiTheme="majorHAnsi" w:eastAsia="Times New Roman" w:hAnsiTheme="majorHAnsi" w:cs="Times New Roman"/>
          <w:color w:val="000000"/>
        </w:rPr>
        <w:t>Many districts have experienced a negative solvency ratio for a number of years without any sanction from the Iowa Department of Education or State Board of Education.</w:t>
      </w:r>
    </w:p>
    <w:p w:rsidR="005339BA" w:rsidRDefault="005339BA" w:rsidP="005339B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</w:p>
    <w:p w:rsidR="005339BA" w:rsidRDefault="005339BA" w:rsidP="005339B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</w:p>
    <w:p w:rsidR="003C7A62" w:rsidRPr="00646370" w:rsidRDefault="008D4BAA" w:rsidP="009C1B3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  <w:r w:rsidRPr="00646370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  <w:t>Enrollment Trends</w:t>
      </w:r>
    </w:p>
    <w:p w:rsidR="003C7A62" w:rsidRPr="00E83CC7" w:rsidRDefault="008D4BAA" w:rsidP="009C1B3A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E83CC7">
        <w:rPr>
          <w:rFonts w:asciiTheme="majorHAnsi" w:hAnsiTheme="majorHAnsi"/>
          <w:color w:val="000000"/>
          <w:sz w:val="22"/>
          <w:szCs w:val="22"/>
        </w:rPr>
        <w:t>The Iowa school foundation formula is driven by student enrollment.</w:t>
      </w:r>
      <w:r w:rsidR="00CF2E4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43E6C" w:rsidRPr="00E83CC7">
        <w:rPr>
          <w:rFonts w:asciiTheme="majorHAnsi" w:hAnsiTheme="majorHAnsi"/>
          <w:color w:val="000000"/>
          <w:sz w:val="22"/>
          <w:szCs w:val="22"/>
        </w:rPr>
        <w:t xml:space="preserve">Both increasing and decreasing enrollment will impact a school district’s </w:t>
      </w:r>
      <w:r w:rsidR="00C83D99">
        <w:rPr>
          <w:rFonts w:asciiTheme="majorHAnsi" w:hAnsiTheme="majorHAnsi"/>
          <w:color w:val="000000"/>
          <w:sz w:val="22"/>
          <w:szCs w:val="22"/>
        </w:rPr>
        <w:t>spending authority</w:t>
      </w:r>
      <w:r w:rsidR="009A4A0E">
        <w:rPr>
          <w:rFonts w:asciiTheme="majorHAnsi" w:hAnsiTheme="majorHAnsi"/>
          <w:color w:val="000000"/>
          <w:sz w:val="22"/>
          <w:szCs w:val="22"/>
        </w:rPr>
        <w:t xml:space="preserve"> and need</w:t>
      </w:r>
      <w:r w:rsidR="00643E6C" w:rsidRPr="00E83CC7">
        <w:rPr>
          <w:rFonts w:asciiTheme="majorHAnsi" w:hAnsiTheme="majorHAnsi"/>
          <w:color w:val="000000"/>
          <w:sz w:val="22"/>
          <w:szCs w:val="22"/>
        </w:rPr>
        <w:t xml:space="preserve"> for expenditures.</w:t>
      </w:r>
      <w:r w:rsidR="00CF2E4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43E6C" w:rsidRPr="00E83CC7">
        <w:rPr>
          <w:rFonts w:asciiTheme="majorHAnsi" w:hAnsiTheme="majorHAnsi"/>
          <w:color w:val="000000"/>
          <w:sz w:val="22"/>
          <w:szCs w:val="22"/>
        </w:rPr>
        <w:t>District leaders should consider short</w:t>
      </w:r>
      <w:r w:rsidR="009A4A0E">
        <w:rPr>
          <w:rFonts w:asciiTheme="majorHAnsi" w:hAnsiTheme="majorHAnsi"/>
          <w:color w:val="000000"/>
          <w:sz w:val="22"/>
          <w:szCs w:val="22"/>
        </w:rPr>
        <w:t>-</w:t>
      </w:r>
      <w:r w:rsidR="00643E6C" w:rsidRPr="00E83CC7">
        <w:rPr>
          <w:rFonts w:asciiTheme="majorHAnsi" w:hAnsiTheme="majorHAnsi"/>
          <w:color w:val="000000"/>
          <w:sz w:val="22"/>
          <w:szCs w:val="22"/>
        </w:rPr>
        <w:t>term and long</w:t>
      </w:r>
      <w:r w:rsidR="009A4A0E">
        <w:rPr>
          <w:rFonts w:asciiTheme="majorHAnsi" w:hAnsiTheme="majorHAnsi"/>
          <w:color w:val="000000"/>
          <w:sz w:val="22"/>
          <w:szCs w:val="22"/>
        </w:rPr>
        <w:t>-</w:t>
      </w:r>
      <w:r w:rsidR="00643E6C" w:rsidRPr="00E83CC7">
        <w:rPr>
          <w:rFonts w:asciiTheme="majorHAnsi" w:hAnsiTheme="majorHAnsi"/>
          <w:color w:val="000000"/>
          <w:sz w:val="22"/>
          <w:szCs w:val="22"/>
        </w:rPr>
        <w:t>term enrollment trends and contemplate scenarios for adjusting staffing and expenditures along the way.</w:t>
      </w:r>
      <w:r w:rsidR="00CF2E4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643E6C" w:rsidRPr="00E83CC7">
        <w:rPr>
          <w:rFonts w:asciiTheme="majorHAnsi" w:hAnsiTheme="majorHAnsi"/>
          <w:color w:val="000000"/>
          <w:sz w:val="22"/>
          <w:szCs w:val="22"/>
        </w:rPr>
        <w:t xml:space="preserve">Trends in open enrollment (both in and out of the district) also directly impact the district’s revenues and expenditures and should be carefully analyzed and trended forward to anticipate </w:t>
      </w:r>
      <w:r w:rsidR="003E53DD">
        <w:rPr>
          <w:rFonts w:asciiTheme="majorHAnsi" w:hAnsiTheme="majorHAnsi"/>
          <w:color w:val="000000"/>
          <w:sz w:val="22"/>
          <w:szCs w:val="22"/>
        </w:rPr>
        <w:t xml:space="preserve">the </w:t>
      </w:r>
      <w:r w:rsidR="00643E6C" w:rsidRPr="00E83CC7">
        <w:rPr>
          <w:rFonts w:asciiTheme="majorHAnsi" w:hAnsiTheme="majorHAnsi"/>
          <w:color w:val="000000"/>
          <w:sz w:val="22"/>
          <w:szCs w:val="22"/>
        </w:rPr>
        <w:t>financial impact.</w:t>
      </w:r>
      <w:r w:rsidR="00CF2E4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A4A0E">
        <w:rPr>
          <w:rFonts w:asciiTheme="majorHAnsi" w:hAnsiTheme="majorHAnsi"/>
          <w:color w:val="000000"/>
          <w:sz w:val="22"/>
          <w:szCs w:val="22"/>
        </w:rPr>
        <w:t>In many cases of districts</w:t>
      </w:r>
      <w:r w:rsidR="00643E6C" w:rsidRPr="00E83CC7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C83D99">
        <w:rPr>
          <w:rFonts w:asciiTheme="majorHAnsi" w:hAnsiTheme="majorHAnsi"/>
          <w:color w:val="000000"/>
          <w:sz w:val="22"/>
          <w:szCs w:val="22"/>
        </w:rPr>
        <w:t>encountering</w:t>
      </w:r>
      <w:r w:rsidR="00643E6C" w:rsidRPr="00E83CC7">
        <w:rPr>
          <w:rFonts w:asciiTheme="majorHAnsi" w:hAnsiTheme="majorHAnsi"/>
          <w:color w:val="000000"/>
          <w:sz w:val="22"/>
          <w:szCs w:val="22"/>
        </w:rPr>
        <w:t xml:space="preserve"> financial hardship, local leaders have looked back to discover that </w:t>
      </w:r>
      <w:r w:rsidR="009A4A0E">
        <w:rPr>
          <w:rFonts w:asciiTheme="majorHAnsi" w:hAnsiTheme="majorHAnsi"/>
          <w:color w:val="000000"/>
          <w:sz w:val="22"/>
          <w:szCs w:val="22"/>
        </w:rPr>
        <w:t>staff reductions were not made</w:t>
      </w:r>
      <w:r w:rsidR="00643E6C" w:rsidRPr="00E83CC7">
        <w:rPr>
          <w:rFonts w:asciiTheme="majorHAnsi" w:hAnsiTheme="majorHAnsi"/>
          <w:color w:val="000000"/>
          <w:sz w:val="22"/>
          <w:szCs w:val="22"/>
        </w:rPr>
        <w:t xml:space="preserve"> along the w</w:t>
      </w:r>
      <w:r w:rsidR="009A4A0E">
        <w:rPr>
          <w:rFonts w:asciiTheme="majorHAnsi" w:hAnsiTheme="majorHAnsi"/>
          <w:color w:val="000000"/>
          <w:sz w:val="22"/>
          <w:szCs w:val="22"/>
        </w:rPr>
        <w:t>ay as enrollment declines</w:t>
      </w:r>
      <w:r w:rsidR="00643E6C" w:rsidRPr="00E83CC7">
        <w:rPr>
          <w:rFonts w:asciiTheme="majorHAnsi" w:hAnsiTheme="majorHAnsi"/>
          <w:color w:val="000000"/>
          <w:sz w:val="22"/>
          <w:szCs w:val="22"/>
        </w:rPr>
        <w:t xml:space="preserve"> continued over a number of years.</w:t>
      </w:r>
    </w:p>
    <w:p w:rsidR="005339BA" w:rsidRDefault="005339BA" w:rsidP="005339B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</w:p>
    <w:p w:rsidR="005339BA" w:rsidRDefault="005339BA" w:rsidP="005339B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</w:p>
    <w:p w:rsidR="003C7A62" w:rsidRPr="00646370" w:rsidRDefault="003C7A62" w:rsidP="009C1B3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  <w:r w:rsidRPr="00646370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  <w:t>Number of Staff/Staffing Ratios</w:t>
      </w:r>
    </w:p>
    <w:p w:rsidR="00643E6C" w:rsidRPr="00E83CC7" w:rsidRDefault="00643E6C" w:rsidP="009C1B3A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E83CC7">
        <w:rPr>
          <w:rFonts w:asciiTheme="majorHAnsi" w:hAnsiTheme="majorHAnsi"/>
          <w:color w:val="000000"/>
          <w:sz w:val="22"/>
          <w:szCs w:val="22"/>
        </w:rPr>
        <w:t xml:space="preserve">The largest expenditure of a school district’s </w:t>
      </w:r>
      <w:r w:rsidR="00453D53">
        <w:rPr>
          <w:rFonts w:asciiTheme="majorHAnsi" w:hAnsiTheme="majorHAnsi"/>
          <w:color w:val="000000"/>
          <w:sz w:val="22"/>
          <w:szCs w:val="22"/>
        </w:rPr>
        <w:t>General Fund</w:t>
      </w:r>
      <w:r w:rsidRPr="00E83CC7">
        <w:rPr>
          <w:rFonts w:asciiTheme="majorHAnsi" w:hAnsiTheme="majorHAnsi"/>
          <w:color w:val="000000"/>
          <w:sz w:val="22"/>
          <w:szCs w:val="22"/>
        </w:rPr>
        <w:t xml:space="preserve"> is salary and benefits costs for staff.</w:t>
      </w:r>
      <w:r w:rsidR="00CF2E4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3CC7">
        <w:rPr>
          <w:rFonts w:asciiTheme="majorHAnsi" w:hAnsiTheme="majorHAnsi"/>
          <w:color w:val="000000"/>
          <w:sz w:val="22"/>
          <w:szCs w:val="22"/>
        </w:rPr>
        <w:t xml:space="preserve">District leaders should anticipate a staffing ratio that results in personnel costs around </w:t>
      </w:r>
      <w:r w:rsidR="00AE2545">
        <w:rPr>
          <w:rFonts w:asciiTheme="majorHAnsi" w:hAnsiTheme="majorHAnsi"/>
          <w:color w:val="000000"/>
          <w:sz w:val="22"/>
          <w:szCs w:val="22"/>
        </w:rPr>
        <w:t>75</w:t>
      </w:r>
      <w:r w:rsidRPr="00E83CC7">
        <w:rPr>
          <w:rFonts w:asciiTheme="majorHAnsi" w:hAnsiTheme="majorHAnsi"/>
          <w:color w:val="000000"/>
          <w:sz w:val="22"/>
          <w:szCs w:val="22"/>
        </w:rPr>
        <w:t xml:space="preserve">to 85 </w:t>
      </w:r>
      <w:r w:rsidR="00C83D99">
        <w:rPr>
          <w:rFonts w:asciiTheme="majorHAnsi" w:hAnsiTheme="majorHAnsi"/>
          <w:color w:val="000000"/>
          <w:sz w:val="22"/>
          <w:szCs w:val="22"/>
        </w:rPr>
        <w:t>percent</w:t>
      </w:r>
      <w:r w:rsidRPr="00E83CC7">
        <w:rPr>
          <w:rFonts w:asciiTheme="majorHAnsi" w:hAnsiTheme="majorHAnsi"/>
          <w:color w:val="000000"/>
          <w:sz w:val="22"/>
          <w:szCs w:val="22"/>
        </w:rPr>
        <w:t xml:space="preserve"> of the average district’s budget.</w:t>
      </w:r>
      <w:r w:rsidR="00CF2E4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3CC7">
        <w:rPr>
          <w:rFonts w:asciiTheme="majorHAnsi" w:hAnsiTheme="majorHAnsi"/>
          <w:color w:val="000000"/>
          <w:sz w:val="22"/>
          <w:szCs w:val="22"/>
        </w:rPr>
        <w:t xml:space="preserve">Even small increases in salary or benefits costs combined with declining enrollment will compound very quickly if staffing ratios are not maintained and </w:t>
      </w:r>
      <w:r w:rsidR="003E53DD">
        <w:rPr>
          <w:rFonts w:asciiTheme="majorHAnsi" w:hAnsiTheme="majorHAnsi"/>
          <w:color w:val="000000"/>
          <w:sz w:val="22"/>
          <w:szCs w:val="22"/>
        </w:rPr>
        <w:t xml:space="preserve">staff </w:t>
      </w:r>
      <w:r w:rsidR="003E53DD">
        <w:rPr>
          <w:rFonts w:asciiTheme="majorHAnsi" w:hAnsiTheme="majorHAnsi"/>
          <w:color w:val="000000"/>
          <w:sz w:val="22"/>
          <w:szCs w:val="22"/>
        </w:rPr>
        <w:lastRenderedPageBreak/>
        <w:t>costs</w:t>
      </w:r>
      <w:r w:rsidRPr="00E83CC7">
        <w:rPr>
          <w:rFonts w:asciiTheme="majorHAnsi" w:hAnsiTheme="majorHAnsi"/>
          <w:color w:val="000000"/>
          <w:sz w:val="22"/>
          <w:szCs w:val="22"/>
        </w:rPr>
        <w:t xml:space="preserve"> creep up to over </w:t>
      </w:r>
      <w:r w:rsidR="00AE2545" w:rsidRPr="00E83CC7">
        <w:rPr>
          <w:rFonts w:asciiTheme="majorHAnsi" w:hAnsiTheme="majorHAnsi"/>
          <w:color w:val="000000"/>
          <w:sz w:val="22"/>
          <w:szCs w:val="22"/>
        </w:rPr>
        <w:t>8</w:t>
      </w:r>
      <w:r w:rsidR="00AE2545">
        <w:rPr>
          <w:rFonts w:asciiTheme="majorHAnsi" w:hAnsiTheme="majorHAnsi"/>
          <w:color w:val="000000"/>
          <w:sz w:val="22"/>
          <w:szCs w:val="22"/>
        </w:rPr>
        <w:t xml:space="preserve">0 </w:t>
      </w:r>
      <w:r w:rsidR="00522D30">
        <w:rPr>
          <w:rFonts w:asciiTheme="majorHAnsi" w:hAnsiTheme="majorHAnsi"/>
          <w:color w:val="000000"/>
          <w:sz w:val="22"/>
          <w:szCs w:val="22"/>
        </w:rPr>
        <w:t>percent</w:t>
      </w:r>
      <w:r w:rsidRPr="00E83CC7">
        <w:rPr>
          <w:rFonts w:asciiTheme="majorHAnsi" w:hAnsiTheme="majorHAnsi"/>
          <w:color w:val="000000"/>
          <w:sz w:val="22"/>
          <w:szCs w:val="22"/>
        </w:rPr>
        <w:t>.</w:t>
      </w:r>
      <w:r w:rsidR="00CF2E4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9B6C73">
        <w:rPr>
          <w:rFonts w:asciiTheme="majorHAnsi" w:hAnsiTheme="majorHAnsi"/>
          <w:color w:val="000000"/>
          <w:sz w:val="22"/>
          <w:szCs w:val="22"/>
        </w:rPr>
        <w:t xml:space="preserve">Districts should evaluate the trend in salary and benefit costs for the </w:t>
      </w:r>
      <w:r w:rsidR="00453D53">
        <w:rPr>
          <w:rFonts w:asciiTheme="majorHAnsi" w:hAnsiTheme="majorHAnsi"/>
          <w:color w:val="000000"/>
          <w:sz w:val="22"/>
          <w:szCs w:val="22"/>
        </w:rPr>
        <w:t>General Fund</w:t>
      </w:r>
      <w:r w:rsidR="009B6C73">
        <w:rPr>
          <w:rFonts w:asciiTheme="majorHAnsi" w:hAnsiTheme="majorHAnsi"/>
          <w:color w:val="000000"/>
          <w:sz w:val="22"/>
          <w:szCs w:val="22"/>
        </w:rPr>
        <w:t xml:space="preserve"> annually.</w:t>
      </w:r>
    </w:p>
    <w:p w:rsidR="005339BA" w:rsidRDefault="005339BA" w:rsidP="005339B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</w:p>
    <w:p w:rsidR="005339BA" w:rsidRDefault="005339BA" w:rsidP="005339B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</w:p>
    <w:p w:rsidR="00643E6C" w:rsidRPr="00646370" w:rsidRDefault="00643E6C" w:rsidP="009C1B3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  <w:r w:rsidRPr="00646370"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  <w:t>Building Level Staff/Staffing Ratios</w:t>
      </w:r>
    </w:p>
    <w:p w:rsidR="00643E6C" w:rsidRPr="00E83CC7" w:rsidRDefault="00643E6C" w:rsidP="009C1B3A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r w:rsidRPr="00E83CC7">
        <w:rPr>
          <w:rFonts w:asciiTheme="majorHAnsi" w:hAnsiTheme="majorHAnsi"/>
          <w:color w:val="000000"/>
          <w:sz w:val="22"/>
          <w:szCs w:val="22"/>
        </w:rPr>
        <w:t xml:space="preserve">One way to detect expected staffing cost increases in advance is to carefully consider </w:t>
      </w:r>
      <w:r w:rsidR="008A4284">
        <w:rPr>
          <w:rFonts w:asciiTheme="majorHAnsi" w:hAnsiTheme="majorHAnsi"/>
          <w:color w:val="000000"/>
          <w:sz w:val="22"/>
          <w:szCs w:val="22"/>
        </w:rPr>
        <w:t xml:space="preserve">staff cost </w:t>
      </w:r>
      <w:r w:rsidRPr="00E83CC7">
        <w:rPr>
          <w:rFonts w:asciiTheme="majorHAnsi" w:hAnsiTheme="majorHAnsi"/>
          <w:color w:val="000000"/>
          <w:sz w:val="22"/>
          <w:szCs w:val="22"/>
        </w:rPr>
        <w:t xml:space="preserve">trends </w:t>
      </w:r>
      <w:r w:rsidR="008A4284">
        <w:rPr>
          <w:rFonts w:asciiTheme="majorHAnsi" w:hAnsiTheme="majorHAnsi"/>
          <w:color w:val="000000"/>
          <w:sz w:val="22"/>
          <w:szCs w:val="22"/>
        </w:rPr>
        <w:t>at the</w:t>
      </w:r>
      <w:r w:rsidRPr="00E83CC7">
        <w:rPr>
          <w:rFonts w:asciiTheme="majorHAnsi" w:hAnsiTheme="majorHAnsi"/>
          <w:color w:val="000000"/>
          <w:sz w:val="22"/>
          <w:szCs w:val="22"/>
        </w:rPr>
        <w:t xml:space="preserve"> building</w:t>
      </w:r>
      <w:r w:rsidR="005339BA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E83CC7">
        <w:rPr>
          <w:rFonts w:asciiTheme="majorHAnsi" w:hAnsiTheme="majorHAnsi"/>
          <w:color w:val="000000"/>
          <w:sz w:val="22"/>
          <w:szCs w:val="22"/>
        </w:rPr>
        <w:t>level.</w:t>
      </w:r>
      <w:r w:rsidR="00CF2E4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5513CD" w:rsidRPr="00E83CC7">
        <w:rPr>
          <w:rFonts w:asciiTheme="majorHAnsi" w:hAnsiTheme="majorHAnsi"/>
          <w:color w:val="000000"/>
          <w:sz w:val="22"/>
          <w:szCs w:val="22"/>
        </w:rPr>
        <w:t>Typically, elementary school staff costs are slightly less per pupil than the average cost per pupil</w:t>
      </w:r>
      <w:r w:rsidR="005C385F">
        <w:rPr>
          <w:rFonts w:asciiTheme="majorHAnsi" w:hAnsiTheme="majorHAnsi"/>
          <w:color w:val="000000"/>
          <w:sz w:val="22"/>
          <w:szCs w:val="22"/>
        </w:rPr>
        <w:t>,</w:t>
      </w:r>
      <w:r w:rsidR="005513CD" w:rsidRPr="00E83CC7">
        <w:rPr>
          <w:rFonts w:asciiTheme="majorHAnsi" w:hAnsiTheme="majorHAnsi"/>
          <w:color w:val="000000"/>
          <w:sz w:val="22"/>
          <w:szCs w:val="22"/>
        </w:rPr>
        <w:t xml:space="preserve"> and </w:t>
      </w:r>
      <w:r w:rsidR="005339BA">
        <w:rPr>
          <w:rFonts w:asciiTheme="majorHAnsi" w:hAnsiTheme="majorHAnsi"/>
          <w:color w:val="000000"/>
          <w:sz w:val="22"/>
          <w:szCs w:val="22"/>
        </w:rPr>
        <w:t xml:space="preserve">at </w:t>
      </w:r>
      <w:r w:rsidR="005513CD" w:rsidRPr="00E83CC7">
        <w:rPr>
          <w:rFonts w:asciiTheme="majorHAnsi" w:hAnsiTheme="majorHAnsi"/>
          <w:color w:val="000000"/>
          <w:sz w:val="22"/>
          <w:szCs w:val="22"/>
        </w:rPr>
        <w:t>the high school staffing costs are typically slightly higher per pupil.</w:t>
      </w:r>
      <w:r w:rsidR="00CF2E4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5513CD" w:rsidRPr="00E83CC7">
        <w:rPr>
          <w:rFonts w:asciiTheme="majorHAnsi" w:hAnsiTheme="majorHAnsi"/>
          <w:color w:val="000000"/>
          <w:sz w:val="22"/>
          <w:szCs w:val="22"/>
        </w:rPr>
        <w:t xml:space="preserve">Deviations to this pattern can help to point out differences, perhaps in the seniority </w:t>
      </w:r>
      <w:r w:rsidR="005C385F">
        <w:rPr>
          <w:rFonts w:asciiTheme="majorHAnsi" w:hAnsiTheme="majorHAnsi"/>
          <w:color w:val="000000"/>
          <w:sz w:val="22"/>
          <w:szCs w:val="22"/>
        </w:rPr>
        <w:t xml:space="preserve">or degree status </w:t>
      </w:r>
      <w:r w:rsidR="005513CD" w:rsidRPr="00E83CC7">
        <w:rPr>
          <w:rFonts w:asciiTheme="majorHAnsi" w:hAnsiTheme="majorHAnsi"/>
          <w:color w:val="000000"/>
          <w:sz w:val="22"/>
          <w:szCs w:val="22"/>
        </w:rPr>
        <w:t>of staff in a particular building.</w:t>
      </w:r>
      <w:r w:rsidR="00CF2E4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5513CD" w:rsidRPr="00E83CC7">
        <w:rPr>
          <w:rFonts w:asciiTheme="majorHAnsi" w:hAnsiTheme="majorHAnsi"/>
          <w:color w:val="000000"/>
          <w:sz w:val="22"/>
          <w:szCs w:val="22"/>
        </w:rPr>
        <w:t>Understanding building</w:t>
      </w:r>
      <w:r w:rsidR="005339BA">
        <w:rPr>
          <w:rFonts w:asciiTheme="majorHAnsi" w:hAnsiTheme="majorHAnsi"/>
          <w:color w:val="000000"/>
          <w:sz w:val="22"/>
          <w:szCs w:val="22"/>
        </w:rPr>
        <w:t>-</w:t>
      </w:r>
      <w:r w:rsidR="005513CD" w:rsidRPr="00E83CC7">
        <w:rPr>
          <w:rFonts w:asciiTheme="majorHAnsi" w:hAnsiTheme="majorHAnsi"/>
          <w:color w:val="000000"/>
          <w:sz w:val="22"/>
          <w:szCs w:val="22"/>
        </w:rPr>
        <w:t>level staffing costs and anticipating sensible staffing ratios can inform district leaders and help in long-term planning</w:t>
      </w:r>
      <w:r w:rsidR="002B61AB">
        <w:rPr>
          <w:rFonts w:asciiTheme="majorHAnsi" w:hAnsiTheme="majorHAnsi"/>
          <w:color w:val="000000"/>
          <w:sz w:val="22"/>
          <w:szCs w:val="22"/>
        </w:rPr>
        <w:t>,</w:t>
      </w:r>
      <w:r w:rsidR="005513CD" w:rsidRPr="00E83CC7">
        <w:rPr>
          <w:rFonts w:asciiTheme="majorHAnsi" w:hAnsiTheme="majorHAnsi"/>
          <w:color w:val="000000"/>
          <w:sz w:val="22"/>
          <w:szCs w:val="22"/>
        </w:rPr>
        <w:t xml:space="preserve"> to maintain a healthy overall staffing ratio with less disruption than staff reductions made after the district is experiencing economic hardship.</w:t>
      </w:r>
      <w:r w:rsidR="00CF2E43">
        <w:rPr>
          <w:rFonts w:asciiTheme="majorHAnsi" w:hAnsiTheme="majorHAnsi"/>
          <w:color w:val="000000"/>
          <w:sz w:val="22"/>
          <w:szCs w:val="22"/>
        </w:rPr>
        <w:t xml:space="preserve"> </w:t>
      </w:r>
      <w:r w:rsidR="00C83D99">
        <w:rPr>
          <w:rFonts w:asciiTheme="majorHAnsi" w:hAnsiTheme="majorHAnsi"/>
          <w:color w:val="000000"/>
          <w:sz w:val="22"/>
          <w:szCs w:val="22"/>
        </w:rPr>
        <w:t xml:space="preserve">It may also help inform districts </w:t>
      </w:r>
      <w:r w:rsidR="00522D30">
        <w:rPr>
          <w:rFonts w:asciiTheme="majorHAnsi" w:hAnsiTheme="majorHAnsi"/>
          <w:color w:val="000000"/>
          <w:sz w:val="22"/>
          <w:szCs w:val="22"/>
        </w:rPr>
        <w:t xml:space="preserve">whether </w:t>
      </w:r>
      <w:r w:rsidR="00C83D99">
        <w:rPr>
          <w:rFonts w:asciiTheme="majorHAnsi" w:hAnsiTheme="majorHAnsi"/>
          <w:color w:val="000000"/>
          <w:sz w:val="22"/>
          <w:szCs w:val="22"/>
        </w:rPr>
        <w:t>an early retirement plan may be utilized to reduce such expenditures</w:t>
      </w:r>
      <w:r w:rsidR="00522D30">
        <w:rPr>
          <w:rFonts w:asciiTheme="majorHAnsi" w:hAnsiTheme="majorHAnsi"/>
          <w:color w:val="000000"/>
          <w:sz w:val="22"/>
          <w:szCs w:val="22"/>
        </w:rPr>
        <w:t xml:space="preserve"> or if natural attrition will deliver the expected staff ratio relative to the number of student</w:t>
      </w:r>
      <w:r w:rsidR="005339BA">
        <w:rPr>
          <w:rFonts w:asciiTheme="majorHAnsi" w:hAnsiTheme="majorHAnsi"/>
          <w:color w:val="000000"/>
          <w:sz w:val="22"/>
          <w:szCs w:val="22"/>
        </w:rPr>
        <w:t>s</w:t>
      </w:r>
      <w:r w:rsidR="00522D30">
        <w:rPr>
          <w:rFonts w:asciiTheme="majorHAnsi" w:hAnsiTheme="majorHAnsi"/>
          <w:color w:val="000000"/>
          <w:sz w:val="22"/>
          <w:szCs w:val="22"/>
        </w:rPr>
        <w:t xml:space="preserve"> anticipated to be enrolled</w:t>
      </w:r>
      <w:r w:rsidR="00C83D99">
        <w:rPr>
          <w:rFonts w:asciiTheme="majorHAnsi" w:hAnsiTheme="majorHAnsi"/>
          <w:color w:val="000000"/>
          <w:sz w:val="22"/>
          <w:szCs w:val="22"/>
        </w:rPr>
        <w:t>.</w:t>
      </w:r>
    </w:p>
    <w:p w:rsidR="00DC2854" w:rsidRDefault="00DC2854" w:rsidP="009C1B3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</w:p>
    <w:p w:rsidR="00D6390A" w:rsidRDefault="00D6390A" w:rsidP="009C1B3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</w:p>
    <w:p w:rsidR="00DC2854" w:rsidRPr="00646370" w:rsidRDefault="00DC2854" w:rsidP="009C1B3A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4"/>
        </w:rPr>
        <w:t>New Money / New Spending Authority</w:t>
      </w:r>
    </w:p>
    <w:p w:rsidR="00ED5D64" w:rsidRDefault="00522D30" w:rsidP="00ED5D64">
      <w:pPr>
        <w:spacing w:line="240" w:lineRule="auto"/>
        <w:rPr>
          <w:rFonts w:asciiTheme="majorHAnsi" w:hAnsiTheme="majorHAnsi"/>
          <w:color w:val="000000"/>
        </w:rPr>
        <w:sectPr w:rsidR="00ED5D64" w:rsidSect="00CF2E43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900" w:right="1440" w:bottom="1440" w:left="1440" w:header="720" w:footer="720" w:gutter="0"/>
          <w:cols w:space="720"/>
          <w:titlePg/>
          <w:docGrid w:linePitch="360"/>
        </w:sectPr>
      </w:pPr>
      <w:r>
        <w:rPr>
          <w:rFonts w:asciiTheme="majorHAnsi" w:hAnsiTheme="majorHAnsi"/>
          <w:color w:val="000000"/>
        </w:rPr>
        <w:t>S</w:t>
      </w:r>
      <w:r w:rsidR="00DC2854">
        <w:rPr>
          <w:rFonts w:asciiTheme="majorHAnsi" w:hAnsiTheme="majorHAnsi"/>
          <w:color w:val="000000"/>
        </w:rPr>
        <w:t xml:space="preserve">chool districts </w:t>
      </w:r>
      <w:r w:rsidR="005C691C">
        <w:rPr>
          <w:rFonts w:asciiTheme="majorHAnsi" w:hAnsiTheme="majorHAnsi"/>
          <w:color w:val="000000"/>
        </w:rPr>
        <w:t xml:space="preserve">will typically learn </w:t>
      </w:r>
      <w:r w:rsidR="00DC2854">
        <w:rPr>
          <w:rFonts w:asciiTheme="majorHAnsi" w:hAnsiTheme="majorHAnsi"/>
          <w:color w:val="000000"/>
        </w:rPr>
        <w:t>how much new spending authority they will receive for the next fiscal year base</w:t>
      </w:r>
      <w:r w:rsidR="00893E60">
        <w:rPr>
          <w:rFonts w:asciiTheme="majorHAnsi" w:hAnsiTheme="majorHAnsi"/>
          <w:color w:val="000000"/>
        </w:rPr>
        <w:t xml:space="preserve">d on the </w:t>
      </w:r>
      <w:r w:rsidR="00AE2545">
        <w:rPr>
          <w:rFonts w:asciiTheme="majorHAnsi" w:hAnsiTheme="majorHAnsi"/>
          <w:color w:val="000000"/>
        </w:rPr>
        <w:t xml:space="preserve">October </w:t>
      </w:r>
      <w:r w:rsidR="00893E60">
        <w:rPr>
          <w:rFonts w:asciiTheme="majorHAnsi" w:hAnsiTheme="majorHAnsi"/>
          <w:color w:val="000000"/>
        </w:rPr>
        <w:t>1 enrollment head</w:t>
      </w:r>
      <w:r w:rsidR="00DC2854">
        <w:rPr>
          <w:rFonts w:asciiTheme="majorHAnsi" w:hAnsiTheme="majorHAnsi"/>
          <w:color w:val="000000"/>
        </w:rPr>
        <w:t xml:space="preserve">count </w:t>
      </w:r>
      <w:r w:rsidR="005C691C">
        <w:rPr>
          <w:rFonts w:asciiTheme="majorHAnsi" w:hAnsiTheme="majorHAnsi"/>
          <w:color w:val="000000"/>
        </w:rPr>
        <w:t xml:space="preserve">when the </w:t>
      </w:r>
      <w:r w:rsidR="00DC2854">
        <w:rPr>
          <w:rFonts w:asciiTheme="majorHAnsi" w:hAnsiTheme="majorHAnsi"/>
          <w:color w:val="000000"/>
        </w:rPr>
        <w:t>legislature set</w:t>
      </w:r>
      <w:r w:rsidR="005C691C">
        <w:rPr>
          <w:rFonts w:asciiTheme="majorHAnsi" w:hAnsiTheme="majorHAnsi"/>
          <w:color w:val="000000"/>
        </w:rPr>
        <w:t>s</w:t>
      </w:r>
      <w:r w:rsidR="00DC2854">
        <w:rPr>
          <w:rFonts w:asciiTheme="majorHAnsi" w:hAnsiTheme="majorHAnsi"/>
          <w:color w:val="000000"/>
        </w:rPr>
        <w:t xml:space="preserve"> </w:t>
      </w:r>
      <w:r w:rsidR="002204F3">
        <w:rPr>
          <w:rFonts w:asciiTheme="majorHAnsi" w:hAnsiTheme="majorHAnsi"/>
          <w:color w:val="000000"/>
        </w:rPr>
        <w:t xml:space="preserve">the state </w:t>
      </w:r>
      <w:r w:rsidR="00893E60">
        <w:rPr>
          <w:rFonts w:asciiTheme="majorHAnsi" w:hAnsiTheme="majorHAnsi"/>
          <w:color w:val="000000"/>
        </w:rPr>
        <w:t xml:space="preserve">cost per pupil </w:t>
      </w:r>
      <w:r w:rsidR="002204F3">
        <w:rPr>
          <w:rFonts w:asciiTheme="majorHAnsi" w:hAnsiTheme="majorHAnsi"/>
          <w:color w:val="000000"/>
        </w:rPr>
        <w:t>percent of growth</w:t>
      </w:r>
      <w:r w:rsidR="00DC2854">
        <w:rPr>
          <w:rFonts w:asciiTheme="majorHAnsi" w:hAnsiTheme="majorHAnsi"/>
          <w:color w:val="000000"/>
        </w:rPr>
        <w:t xml:space="preserve"> for the next school year</w:t>
      </w:r>
      <w:r w:rsidR="005339BA">
        <w:rPr>
          <w:rFonts w:asciiTheme="majorHAnsi" w:hAnsiTheme="majorHAnsi"/>
          <w:color w:val="000000"/>
        </w:rPr>
        <w:t xml:space="preserve"> (known as State Supplementary Aid or SSA)</w:t>
      </w:r>
      <w:r w:rsidR="00DC2854">
        <w:rPr>
          <w:rFonts w:asciiTheme="majorHAnsi" w:hAnsiTheme="majorHAnsi"/>
          <w:color w:val="000000"/>
        </w:rPr>
        <w:t>.</w:t>
      </w:r>
      <w:r w:rsidR="00CF2E43">
        <w:rPr>
          <w:rFonts w:asciiTheme="majorHAnsi" w:hAnsiTheme="majorHAnsi"/>
          <w:color w:val="000000"/>
        </w:rPr>
        <w:t xml:space="preserve"> </w:t>
      </w:r>
      <w:r w:rsidR="005C691C">
        <w:rPr>
          <w:rFonts w:asciiTheme="majorHAnsi" w:hAnsiTheme="majorHAnsi"/>
          <w:color w:val="000000"/>
        </w:rPr>
        <w:t>The Iowa Code requires the legislature to set the SSA rate within 30 days of the release of the Governor’s budget recommendation (typically com</w:t>
      </w:r>
      <w:r w:rsidR="00CF2E43">
        <w:rPr>
          <w:rFonts w:asciiTheme="majorHAnsi" w:hAnsiTheme="majorHAnsi"/>
          <w:color w:val="000000"/>
        </w:rPr>
        <w:t>p</w:t>
      </w:r>
      <w:r w:rsidR="005C691C">
        <w:rPr>
          <w:rFonts w:asciiTheme="majorHAnsi" w:hAnsiTheme="majorHAnsi"/>
          <w:color w:val="000000"/>
        </w:rPr>
        <w:t>leted by mid-February)</w:t>
      </w:r>
      <w:r w:rsidR="00CF2E43">
        <w:rPr>
          <w:rFonts w:asciiTheme="majorHAnsi" w:hAnsiTheme="majorHAnsi"/>
          <w:color w:val="000000"/>
        </w:rPr>
        <w:t>.</w:t>
      </w:r>
      <w:r w:rsidR="005C691C">
        <w:rPr>
          <w:rFonts w:asciiTheme="majorHAnsi" w:hAnsiTheme="majorHAnsi"/>
          <w:color w:val="000000"/>
        </w:rPr>
        <w:t xml:space="preserve"> </w:t>
      </w:r>
      <w:r w:rsidR="00DC2854">
        <w:rPr>
          <w:rFonts w:asciiTheme="majorHAnsi" w:hAnsiTheme="majorHAnsi"/>
          <w:color w:val="000000"/>
        </w:rPr>
        <w:t xml:space="preserve">This report has been </w:t>
      </w:r>
      <w:r w:rsidR="00893E60">
        <w:rPr>
          <w:rFonts w:asciiTheme="majorHAnsi" w:hAnsiTheme="majorHAnsi"/>
          <w:color w:val="000000"/>
        </w:rPr>
        <w:t xml:space="preserve">historically referred to as the </w:t>
      </w:r>
      <w:r w:rsidR="00DC2854">
        <w:rPr>
          <w:rFonts w:asciiTheme="majorHAnsi" w:hAnsiTheme="majorHAnsi"/>
          <w:color w:val="000000"/>
        </w:rPr>
        <w:t>“New Money” report, although it isn’t mone</w:t>
      </w:r>
      <w:r w:rsidR="00110557">
        <w:rPr>
          <w:rFonts w:asciiTheme="majorHAnsi" w:hAnsiTheme="majorHAnsi"/>
          <w:color w:val="000000"/>
        </w:rPr>
        <w:t>y (cash or revenue), but instead</w:t>
      </w:r>
      <w:r w:rsidR="00DC2854">
        <w:rPr>
          <w:rFonts w:asciiTheme="majorHAnsi" w:hAnsiTheme="majorHAnsi"/>
          <w:color w:val="000000"/>
        </w:rPr>
        <w:t xml:space="preserve"> is a measure of change in spending authority.</w:t>
      </w:r>
      <w:r w:rsidR="00CF2E43">
        <w:rPr>
          <w:rFonts w:asciiTheme="majorHAnsi" w:hAnsiTheme="majorHAnsi"/>
          <w:color w:val="000000"/>
        </w:rPr>
        <w:t xml:space="preserve"> </w:t>
      </w:r>
      <w:r w:rsidR="00893E60">
        <w:rPr>
          <w:rFonts w:asciiTheme="majorHAnsi" w:hAnsiTheme="majorHAnsi"/>
          <w:color w:val="000000"/>
        </w:rPr>
        <w:t>ISFIS has titled this report the “New Authority Report</w:t>
      </w:r>
      <w:r w:rsidR="00982E36">
        <w:rPr>
          <w:rFonts w:asciiTheme="majorHAnsi" w:hAnsiTheme="majorHAnsi"/>
          <w:color w:val="000000"/>
        </w:rPr>
        <w:t>,”</w:t>
      </w:r>
      <w:r w:rsidR="00110557">
        <w:rPr>
          <w:rFonts w:asciiTheme="majorHAnsi" w:hAnsiTheme="majorHAnsi"/>
          <w:color w:val="000000"/>
        </w:rPr>
        <w:t xml:space="preserve"> and it can be found on the ISFIS Subscriber Website at </w:t>
      </w:r>
      <w:hyperlink r:id="rId11" w:history="1">
        <w:r w:rsidR="00110557" w:rsidRPr="0093039D">
          <w:rPr>
            <w:rStyle w:val="Hyperlink"/>
            <w:rFonts w:asciiTheme="majorHAnsi" w:hAnsiTheme="majorHAnsi"/>
          </w:rPr>
          <w:t>www.IowaSchoolFinance.com</w:t>
        </w:r>
      </w:hyperlink>
      <w:r w:rsidR="00893E60">
        <w:rPr>
          <w:rFonts w:asciiTheme="majorHAnsi" w:hAnsiTheme="majorHAnsi"/>
          <w:color w:val="000000"/>
        </w:rPr>
        <w:t>.</w:t>
      </w:r>
      <w:r w:rsidR="00CF2E43">
        <w:rPr>
          <w:rFonts w:asciiTheme="majorHAnsi" w:hAnsiTheme="majorHAnsi"/>
          <w:color w:val="000000"/>
        </w:rPr>
        <w:t xml:space="preserve"> </w:t>
      </w:r>
      <w:r w:rsidR="00893E60">
        <w:rPr>
          <w:rFonts w:asciiTheme="majorHAnsi" w:hAnsiTheme="majorHAnsi"/>
          <w:color w:val="000000"/>
        </w:rPr>
        <w:t xml:space="preserve">With the 101% budget adjustment in place, </w:t>
      </w:r>
      <w:r w:rsidR="00DC2854">
        <w:rPr>
          <w:rFonts w:asciiTheme="majorHAnsi" w:hAnsiTheme="majorHAnsi"/>
          <w:color w:val="000000"/>
        </w:rPr>
        <w:t>districts with declining enrollment must look one year beyond this notice of new spending authority in order to realize the impact of an enrollment decline.</w:t>
      </w:r>
      <w:r w:rsidR="00CF2E43">
        <w:rPr>
          <w:rFonts w:asciiTheme="majorHAnsi" w:hAnsiTheme="majorHAnsi"/>
          <w:color w:val="000000"/>
        </w:rPr>
        <w:t xml:space="preserve"> </w:t>
      </w:r>
      <w:r w:rsidR="00DC2854">
        <w:rPr>
          <w:rFonts w:asciiTheme="majorHAnsi" w:hAnsiTheme="majorHAnsi"/>
          <w:color w:val="000000"/>
        </w:rPr>
        <w:t>Historical looks a</w:t>
      </w:r>
      <w:r w:rsidR="009C1B3A">
        <w:rPr>
          <w:rFonts w:asciiTheme="majorHAnsi" w:hAnsiTheme="majorHAnsi"/>
          <w:color w:val="000000"/>
        </w:rPr>
        <w:t>t</w:t>
      </w:r>
      <w:r w:rsidR="00DC2854">
        <w:rPr>
          <w:rFonts w:asciiTheme="majorHAnsi" w:hAnsiTheme="majorHAnsi"/>
          <w:color w:val="000000"/>
        </w:rPr>
        <w:t xml:space="preserve"> new spending authority and carrying forward trend lines for long-term planning can go a long way towards helping school leaders plan for revenue and expenditure changes down the road.</w:t>
      </w:r>
    </w:p>
    <w:p w:rsidR="003C7A62" w:rsidRPr="00360A41" w:rsidRDefault="005513CD" w:rsidP="00360A41">
      <w:pPr>
        <w:spacing w:after="0" w:line="240" w:lineRule="auto"/>
        <w:outlineLvl w:val="4"/>
        <w:rPr>
          <w:rFonts w:asciiTheme="majorHAnsi" w:eastAsia="Times New Roman" w:hAnsiTheme="majorHAnsi" w:cs="Times New Roman"/>
          <w:b/>
          <w:bCs/>
          <w:color w:val="000000"/>
          <w:sz w:val="36"/>
        </w:rPr>
      </w:pPr>
      <w:r w:rsidRPr="00360A41">
        <w:rPr>
          <w:rFonts w:asciiTheme="majorHAnsi" w:eastAsia="Times New Roman" w:hAnsiTheme="majorHAnsi" w:cs="Times New Roman"/>
          <w:b/>
          <w:bCs/>
          <w:color w:val="000000"/>
          <w:sz w:val="36"/>
        </w:rPr>
        <w:lastRenderedPageBreak/>
        <w:t xml:space="preserve">Four </w:t>
      </w:r>
      <w:r w:rsidR="00DC2854" w:rsidRPr="00360A41">
        <w:rPr>
          <w:rFonts w:asciiTheme="majorHAnsi" w:eastAsia="Times New Roman" w:hAnsiTheme="majorHAnsi" w:cs="Times New Roman"/>
          <w:b/>
          <w:bCs/>
          <w:color w:val="000000"/>
          <w:sz w:val="36"/>
        </w:rPr>
        <w:t>Key School Finance Ideas</w:t>
      </w:r>
      <w:r w:rsidRPr="00360A41">
        <w:rPr>
          <w:rFonts w:asciiTheme="majorHAnsi" w:eastAsia="Times New Roman" w:hAnsiTheme="majorHAnsi" w:cs="Times New Roman"/>
          <w:b/>
          <w:bCs/>
          <w:color w:val="000000"/>
          <w:sz w:val="36"/>
        </w:rPr>
        <w:t xml:space="preserve"> </w:t>
      </w:r>
      <w:r w:rsidR="00DC2854" w:rsidRPr="00360A41">
        <w:rPr>
          <w:rFonts w:asciiTheme="majorHAnsi" w:eastAsia="Times New Roman" w:hAnsiTheme="majorHAnsi" w:cs="Times New Roman"/>
          <w:b/>
          <w:bCs/>
          <w:color w:val="000000"/>
          <w:sz w:val="36"/>
        </w:rPr>
        <w:t xml:space="preserve">for </w:t>
      </w:r>
      <w:r w:rsidR="00360A41" w:rsidRPr="00360A41">
        <w:rPr>
          <w:rFonts w:asciiTheme="majorHAnsi" w:eastAsia="Times New Roman" w:hAnsiTheme="majorHAnsi" w:cs="Times New Roman"/>
          <w:b/>
          <w:bCs/>
          <w:color w:val="000000"/>
          <w:sz w:val="36"/>
        </w:rPr>
        <w:br/>
      </w:r>
      <w:r w:rsidR="00DC2854" w:rsidRPr="00360A41">
        <w:rPr>
          <w:rFonts w:asciiTheme="majorHAnsi" w:eastAsia="Times New Roman" w:hAnsiTheme="majorHAnsi" w:cs="Times New Roman"/>
          <w:b/>
          <w:bCs/>
          <w:color w:val="000000"/>
          <w:sz w:val="36"/>
        </w:rPr>
        <w:t xml:space="preserve">Iowa School Leaders to </w:t>
      </w:r>
      <w:r w:rsidR="00360A41" w:rsidRPr="00360A41">
        <w:rPr>
          <w:rFonts w:asciiTheme="majorHAnsi" w:eastAsia="Times New Roman" w:hAnsiTheme="majorHAnsi" w:cs="Times New Roman"/>
          <w:b/>
          <w:bCs/>
          <w:color w:val="000000"/>
          <w:sz w:val="36"/>
        </w:rPr>
        <w:br/>
      </w:r>
      <w:r w:rsidR="00DC2854" w:rsidRPr="00360A41">
        <w:rPr>
          <w:rFonts w:asciiTheme="majorHAnsi" w:eastAsia="Times New Roman" w:hAnsiTheme="majorHAnsi" w:cs="Times New Roman"/>
          <w:b/>
          <w:bCs/>
          <w:color w:val="000000"/>
          <w:sz w:val="36"/>
        </w:rPr>
        <w:t>Keep in Mind</w:t>
      </w:r>
    </w:p>
    <w:p w:rsidR="00DC2854" w:rsidRPr="00646370" w:rsidRDefault="00DC2854" w:rsidP="00646370">
      <w:pPr>
        <w:rPr>
          <w:rFonts w:ascii="Times New Roman" w:hAnsi="Times New Roman" w:cs="Times New Roman"/>
          <w:b/>
          <w:sz w:val="32"/>
        </w:rPr>
      </w:pPr>
    </w:p>
    <w:p w:rsidR="003C7A62" w:rsidRPr="003224A9" w:rsidRDefault="005513CD" w:rsidP="00DC2854">
      <w:pPr>
        <w:pStyle w:val="Pa1"/>
        <w:numPr>
          <w:ilvl w:val="0"/>
          <w:numId w:val="1"/>
        </w:numPr>
        <w:spacing w:before="240" w:after="240"/>
        <w:rPr>
          <w:rFonts w:asciiTheme="majorHAnsi" w:hAnsiTheme="majorHAnsi" w:cstheme="minorBidi"/>
          <w:color w:val="000000"/>
        </w:rPr>
      </w:pPr>
      <w:r w:rsidRPr="003224A9">
        <w:rPr>
          <w:rFonts w:asciiTheme="majorHAnsi" w:hAnsiTheme="majorHAnsi" w:cstheme="minorBidi"/>
          <w:color w:val="000000"/>
        </w:rPr>
        <w:t>Iowa school finance is based o</w:t>
      </w:r>
      <w:r w:rsidR="00982E36">
        <w:rPr>
          <w:rFonts w:asciiTheme="majorHAnsi" w:hAnsiTheme="majorHAnsi" w:cstheme="minorBidi"/>
          <w:color w:val="000000"/>
        </w:rPr>
        <w:t>n the number of students</w:t>
      </w:r>
      <w:r w:rsidRPr="003224A9">
        <w:rPr>
          <w:rFonts w:asciiTheme="majorHAnsi" w:hAnsiTheme="majorHAnsi" w:cstheme="minorBidi"/>
          <w:color w:val="000000"/>
        </w:rPr>
        <w:t xml:space="preserve"> in </w:t>
      </w:r>
      <w:r w:rsidR="00982E36">
        <w:rPr>
          <w:rFonts w:asciiTheme="majorHAnsi" w:hAnsiTheme="majorHAnsi" w:cstheme="minorBidi"/>
          <w:color w:val="000000"/>
        </w:rPr>
        <w:t>the</w:t>
      </w:r>
      <w:r w:rsidRPr="003224A9">
        <w:rPr>
          <w:rFonts w:asciiTheme="majorHAnsi" w:hAnsiTheme="majorHAnsi" w:cstheme="minorBidi"/>
          <w:color w:val="000000"/>
        </w:rPr>
        <w:t xml:space="preserve"> district.</w:t>
      </w:r>
      <w:r w:rsidR="00CF2E43">
        <w:rPr>
          <w:rFonts w:asciiTheme="majorHAnsi" w:hAnsiTheme="majorHAnsi" w:cstheme="minorBidi"/>
          <w:color w:val="000000"/>
        </w:rPr>
        <w:t xml:space="preserve"> </w:t>
      </w:r>
      <w:r w:rsidR="003C7A62" w:rsidRPr="003224A9">
        <w:rPr>
          <w:rFonts w:asciiTheme="majorHAnsi" w:hAnsiTheme="majorHAnsi" w:cstheme="minorBidi"/>
          <w:color w:val="000000"/>
        </w:rPr>
        <w:t xml:space="preserve">The total amount of money </w:t>
      </w:r>
      <w:r w:rsidR="00982E36">
        <w:rPr>
          <w:rFonts w:asciiTheme="majorHAnsi" w:hAnsiTheme="majorHAnsi" w:cstheme="minorBidi"/>
          <w:color w:val="000000"/>
        </w:rPr>
        <w:t>a</w:t>
      </w:r>
      <w:r w:rsidRPr="003224A9">
        <w:rPr>
          <w:rFonts w:asciiTheme="majorHAnsi" w:hAnsiTheme="majorHAnsi" w:cstheme="minorBidi"/>
          <w:color w:val="000000"/>
        </w:rPr>
        <w:t xml:space="preserve"> district has is determined primarily</w:t>
      </w:r>
      <w:r w:rsidR="003C7A62" w:rsidRPr="003224A9">
        <w:rPr>
          <w:rFonts w:asciiTheme="majorHAnsi" w:hAnsiTheme="majorHAnsi" w:cstheme="minorBidi"/>
          <w:color w:val="000000"/>
        </w:rPr>
        <w:t xml:space="preserve"> by the number of children </w:t>
      </w:r>
      <w:r w:rsidR="00893E60">
        <w:rPr>
          <w:rFonts w:asciiTheme="majorHAnsi" w:hAnsiTheme="majorHAnsi" w:cstheme="minorBidi"/>
          <w:color w:val="000000"/>
        </w:rPr>
        <w:t>enrolled</w:t>
      </w:r>
      <w:r w:rsidR="003C7A62" w:rsidRPr="003224A9">
        <w:rPr>
          <w:rFonts w:asciiTheme="majorHAnsi" w:hAnsiTheme="majorHAnsi" w:cstheme="minorBidi"/>
          <w:color w:val="000000"/>
        </w:rPr>
        <w:t>.</w:t>
      </w:r>
      <w:r w:rsidR="00CF2E43">
        <w:rPr>
          <w:rFonts w:asciiTheme="majorHAnsi" w:hAnsiTheme="majorHAnsi" w:cstheme="minorBidi"/>
          <w:color w:val="000000"/>
        </w:rPr>
        <w:t xml:space="preserve"> </w:t>
      </w:r>
      <w:r w:rsidR="00E83CC7" w:rsidRPr="003224A9">
        <w:rPr>
          <w:rFonts w:asciiTheme="majorHAnsi" w:hAnsiTheme="majorHAnsi" w:cstheme="minorBidi"/>
          <w:color w:val="000000"/>
        </w:rPr>
        <w:t>Except for a few specific tax levies dedicated to specific purpos</w:t>
      </w:r>
      <w:r w:rsidR="002204F3" w:rsidRPr="003224A9">
        <w:rPr>
          <w:rFonts w:asciiTheme="majorHAnsi" w:hAnsiTheme="majorHAnsi" w:cstheme="minorBidi"/>
          <w:color w:val="000000"/>
        </w:rPr>
        <w:t xml:space="preserve">es, the state prohibits </w:t>
      </w:r>
      <w:r w:rsidR="00982E36">
        <w:rPr>
          <w:rFonts w:asciiTheme="majorHAnsi" w:hAnsiTheme="majorHAnsi" w:cstheme="minorBidi"/>
          <w:color w:val="000000"/>
        </w:rPr>
        <w:t xml:space="preserve">districts </w:t>
      </w:r>
      <w:r w:rsidR="002204F3" w:rsidRPr="003224A9">
        <w:rPr>
          <w:rFonts w:asciiTheme="majorHAnsi" w:hAnsiTheme="majorHAnsi" w:cstheme="minorBidi"/>
          <w:color w:val="000000"/>
        </w:rPr>
        <w:t>from levying</w:t>
      </w:r>
      <w:r w:rsidR="00E83CC7" w:rsidRPr="003224A9">
        <w:rPr>
          <w:rFonts w:asciiTheme="majorHAnsi" w:hAnsiTheme="majorHAnsi" w:cstheme="minorBidi"/>
          <w:color w:val="000000"/>
        </w:rPr>
        <w:t xml:space="preserve"> as much local money as </w:t>
      </w:r>
      <w:r w:rsidR="00982E36">
        <w:rPr>
          <w:rFonts w:asciiTheme="majorHAnsi" w:hAnsiTheme="majorHAnsi" w:cstheme="minorBidi"/>
          <w:color w:val="000000"/>
        </w:rPr>
        <w:t xml:space="preserve">they </w:t>
      </w:r>
      <w:r w:rsidR="00E83CC7" w:rsidRPr="003224A9">
        <w:rPr>
          <w:rFonts w:asciiTheme="majorHAnsi" w:hAnsiTheme="majorHAnsi" w:cstheme="minorBidi"/>
          <w:color w:val="000000"/>
        </w:rPr>
        <w:t xml:space="preserve">might otherwise want to fund </w:t>
      </w:r>
      <w:r w:rsidR="00982E36">
        <w:rPr>
          <w:rFonts w:asciiTheme="majorHAnsi" w:hAnsiTheme="majorHAnsi" w:cstheme="minorBidi"/>
          <w:color w:val="000000"/>
        </w:rPr>
        <w:t>the</w:t>
      </w:r>
      <w:r w:rsidR="00E83CC7" w:rsidRPr="003224A9">
        <w:rPr>
          <w:rFonts w:asciiTheme="majorHAnsi" w:hAnsiTheme="majorHAnsi" w:cstheme="minorBidi"/>
          <w:color w:val="000000"/>
        </w:rPr>
        <w:t xml:space="preserve"> school district.</w:t>
      </w:r>
    </w:p>
    <w:p w:rsidR="00DC2854" w:rsidRPr="003224A9" w:rsidRDefault="00A81F66" w:rsidP="00DC2854">
      <w:pPr>
        <w:pStyle w:val="Pa1"/>
        <w:numPr>
          <w:ilvl w:val="0"/>
          <w:numId w:val="1"/>
        </w:numPr>
        <w:spacing w:before="240" w:after="240"/>
        <w:rPr>
          <w:rFonts w:asciiTheme="majorHAnsi" w:hAnsiTheme="majorHAnsi" w:cstheme="minorBidi"/>
          <w:color w:val="000000"/>
        </w:rPr>
      </w:pPr>
      <w:r>
        <w:rPr>
          <w:rFonts w:asciiTheme="majorHAnsi" w:hAnsiTheme="majorHAnsi" w:cstheme="minorBidi"/>
          <w:color w:val="000000"/>
        </w:rPr>
        <w:t>The</w:t>
      </w:r>
      <w:r w:rsidR="00E83CC7" w:rsidRPr="003224A9">
        <w:rPr>
          <w:rFonts w:asciiTheme="majorHAnsi" w:hAnsiTheme="majorHAnsi" w:cstheme="minorBidi"/>
          <w:color w:val="000000"/>
        </w:rPr>
        <w:t xml:space="preserve"> district’s tax rate is primarily set by the school foundation formula.</w:t>
      </w:r>
      <w:r w:rsidR="00CF2E43">
        <w:rPr>
          <w:rFonts w:asciiTheme="majorHAnsi" w:hAnsiTheme="majorHAnsi" w:cstheme="minorBidi"/>
          <w:color w:val="000000"/>
        </w:rPr>
        <w:t xml:space="preserve"> </w:t>
      </w:r>
      <w:r w:rsidR="00E83CC7" w:rsidRPr="003224A9">
        <w:rPr>
          <w:rFonts w:asciiTheme="majorHAnsi" w:hAnsiTheme="majorHAnsi" w:cstheme="minorBidi"/>
          <w:color w:val="000000"/>
        </w:rPr>
        <w:t xml:space="preserve">There are only limited steps a school </w:t>
      </w:r>
      <w:r w:rsidR="005C691C">
        <w:rPr>
          <w:rFonts w:asciiTheme="majorHAnsi" w:hAnsiTheme="majorHAnsi" w:cstheme="minorBidi"/>
          <w:color w:val="000000"/>
        </w:rPr>
        <w:t>board</w:t>
      </w:r>
      <w:r w:rsidR="005C691C" w:rsidRPr="003224A9">
        <w:rPr>
          <w:rFonts w:asciiTheme="majorHAnsi" w:hAnsiTheme="majorHAnsi" w:cstheme="minorBidi"/>
          <w:color w:val="000000"/>
        </w:rPr>
        <w:t xml:space="preserve"> </w:t>
      </w:r>
      <w:r w:rsidR="00E83CC7" w:rsidRPr="003224A9">
        <w:rPr>
          <w:rFonts w:asciiTheme="majorHAnsi" w:hAnsiTheme="majorHAnsi" w:cstheme="minorBidi"/>
          <w:color w:val="000000"/>
        </w:rPr>
        <w:t xml:space="preserve">can take to increase or decrease the property tax rate. </w:t>
      </w:r>
    </w:p>
    <w:p w:rsidR="00DC2854" w:rsidRPr="003224A9" w:rsidRDefault="003C7A62" w:rsidP="00DC2854">
      <w:pPr>
        <w:pStyle w:val="Pa1"/>
        <w:numPr>
          <w:ilvl w:val="0"/>
          <w:numId w:val="1"/>
        </w:numPr>
        <w:spacing w:before="240" w:after="240"/>
        <w:rPr>
          <w:rFonts w:asciiTheme="majorHAnsi" w:hAnsiTheme="majorHAnsi" w:cstheme="minorBidi"/>
          <w:color w:val="000000"/>
        </w:rPr>
      </w:pPr>
      <w:r w:rsidRPr="003224A9">
        <w:rPr>
          <w:rFonts w:asciiTheme="majorHAnsi" w:hAnsiTheme="majorHAnsi" w:cstheme="minorBidi"/>
          <w:color w:val="000000"/>
        </w:rPr>
        <w:t>Certain funds have to be spent on certain things.</w:t>
      </w:r>
      <w:r w:rsidR="00CF2E43">
        <w:rPr>
          <w:rFonts w:asciiTheme="majorHAnsi" w:hAnsiTheme="majorHAnsi" w:cstheme="minorBidi"/>
          <w:color w:val="000000"/>
        </w:rPr>
        <w:t xml:space="preserve"> </w:t>
      </w:r>
      <w:r w:rsidR="00E83CC7" w:rsidRPr="003224A9">
        <w:rPr>
          <w:rFonts w:asciiTheme="majorHAnsi" w:hAnsiTheme="majorHAnsi" w:cstheme="minorBidi"/>
          <w:color w:val="000000"/>
        </w:rPr>
        <w:t xml:space="preserve">Each tax levy has a limited purpose and the </w:t>
      </w:r>
      <w:r w:rsidR="00453D53">
        <w:rPr>
          <w:rFonts w:asciiTheme="majorHAnsi" w:hAnsiTheme="majorHAnsi" w:cstheme="minorBidi"/>
          <w:color w:val="000000"/>
        </w:rPr>
        <w:t>General Fund</w:t>
      </w:r>
      <w:r w:rsidR="00E83CC7" w:rsidRPr="003224A9">
        <w:rPr>
          <w:rFonts w:asciiTheme="majorHAnsi" w:hAnsiTheme="majorHAnsi" w:cstheme="minorBidi"/>
          <w:color w:val="000000"/>
        </w:rPr>
        <w:t xml:space="preserve"> is for everything else.</w:t>
      </w:r>
      <w:r w:rsidR="00CF2E43">
        <w:rPr>
          <w:rFonts w:asciiTheme="majorHAnsi" w:hAnsiTheme="majorHAnsi" w:cstheme="minorBidi"/>
          <w:color w:val="000000"/>
        </w:rPr>
        <w:t xml:space="preserve"> </w:t>
      </w:r>
      <w:r w:rsidR="00E83CC7" w:rsidRPr="003224A9">
        <w:rPr>
          <w:rFonts w:asciiTheme="majorHAnsi" w:hAnsiTheme="majorHAnsi" w:cstheme="minorBidi"/>
          <w:color w:val="000000"/>
        </w:rPr>
        <w:t xml:space="preserve">Although it may not make sense that </w:t>
      </w:r>
      <w:r w:rsidR="00A81F66">
        <w:rPr>
          <w:rFonts w:asciiTheme="majorHAnsi" w:hAnsiTheme="majorHAnsi" w:cstheme="minorBidi"/>
          <w:color w:val="000000"/>
        </w:rPr>
        <w:t xml:space="preserve">the district has </w:t>
      </w:r>
      <w:r w:rsidR="00E83CC7" w:rsidRPr="003224A9">
        <w:rPr>
          <w:rFonts w:asciiTheme="majorHAnsi" w:hAnsiTheme="majorHAnsi" w:cstheme="minorBidi"/>
          <w:color w:val="000000"/>
        </w:rPr>
        <w:t>enough money to pave a</w:t>
      </w:r>
      <w:r w:rsidR="00A81F66">
        <w:rPr>
          <w:rFonts w:asciiTheme="majorHAnsi" w:hAnsiTheme="majorHAnsi" w:cstheme="minorBidi"/>
          <w:color w:val="000000"/>
        </w:rPr>
        <w:t xml:space="preserve"> parking lot or buy </w:t>
      </w:r>
      <w:r w:rsidR="00E83CC7" w:rsidRPr="003224A9">
        <w:rPr>
          <w:rFonts w:asciiTheme="majorHAnsi" w:hAnsiTheme="majorHAnsi" w:cstheme="minorBidi"/>
          <w:color w:val="000000"/>
        </w:rPr>
        <w:t>computer</w:t>
      </w:r>
      <w:r w:rsidR="00A81F66">
        <w:rPr>
          <w:rFonts w:asciiTheme="majorHAnsi" w:hAnsiTheme="majorHAnsi" w:cstheme="minorBidi"/>
          <w:color w:val="000000"/>
        </w:rPr>
        <w:t>s</w:t>
      </w:r>
      <w:r w:rsidR="00E83CC7" w:rsidRPr="003224A9">
        <w:rPr>
          <w:rFonts w:asciiTheme="majorHAnsi" w:hAnsiTheme="majorHAnsi" w:cstheme="minorBidi"/>
          <w:color w:val="000000"/>
        </w:rPr>
        <w:t xml:space="preserve"> but not enough money to hire teachers (or vice versa), that’s </w:t>
      </w:r>
      <w:r w:rsidR="00A81F66">
        <w:rPr>
          <w:rFonts w:asciiTheme="majorHAnsi" w:hAnsiTheme="majorHAnsi" w:cstheme="minorBidi"/>
          <w:color w:val="000000"/>
        </w:rPr>
        <w:t xml:space="preserve">how </w:t>
      </w:r>
      <w:r w:rsidR="00E83CC7" w:rsidRPr="003224A9">
        <w:rPr>
          <w:rFonts w:asciiTheme="majorHAnsi" w:hAnsiTheme="majorHAnsi" w:cstheme="minorBidi"/>
          <w:color w:val="000000"/>
        </w:rPr>
        <w:t xml:space="preserve">the state law works. </w:t>
      </w:r>
    </w:p>
    <w:p w:rsidR="003C7A62" w:rsidRPr="003224A9" w:rsidRDefault="00E83CC7" w:rsidP="00DC2854">
      <w:pPr>
        <w:pStyle w:val="Pa1"/>
        <w:numPr>
          <w:ilvl w:val="0"/>
          <w:numId w:val="1"/>
        </w:numPr>
        <w:spacing w:before="240" w:after="240"/>
        <w:rPr>
          <w:rFonts w:asciiTheme="majorHAnsi" w:hAnsiTheme="majorHAnsi" w:cstheme="minorBidi"/>
          <w:color w:val="000000"/>
        </w:rPr>
      </w:pPr>
      <w:r w:rsidRPr="003224A9">
        <w:rPr>
          <w:rFonts w:asciiTheme="majorHAnsi" w:hAnsiTheme="majorHAnsi" w:cstheme="minorBidi"/>
          <w:color w:val="000000"/>
        </w:rPr>
        <w:t>Schools are a labor-intensive business</w:t>
      </w:r>
      <w:r w:rsidR="00A81F66">
        <w:rPr>
          <w:rFonts w:asciiTheme="majorHAnsi" w:hAnsiTheme="majorHAnsi" w:cstheme="minorBidi"/>
          <w:color w:val="000000"/>
        </w:rPr>
        <w:t>, with</w:t>
      </w:r>
      <w:r w:rsidR="003C7A62" w:rsidRPr="003224A9">
        <w:rPr>
          <w:rFonts w:asciiTheme="majorHAnsi" w:hAnsiTheme="majorHAnsi" w:cstheme="minorBidi"/>
          <w:color w:val="000000"/>
        </w:rPr>
        <w:t xml:space="preserve"> </w:t>
      </w:r>
      <w:r w:rsidRPr="003224A9">
        <w:rPr>
          <w:rFonts w:asciiTheme="majorHAnsi" w:hAnsiTheme="majorHAnsi" w:cstheme="minorBidi"/>
          <w:color w:val="000000"/>
        </w:rPr>
        <w:t>about</w:t>
      </w:r>
      <w:r w:rsidR="003C7A62" w:rsidRPr="003224A9">
        <w:rPr>
          <w:rFonts w:asciiTheme="majorHAnsi" w:hAnsiTheme="majorHAnsi" w:cstheme="minorBidi"/>
          <w:color w:val="000000"/>
        </w:rPr>
        <w:t xml:space="preserve"> 80 percent of a district’s </w:t>
      </w:r>
      <w:r w:rsidR="00453D53">
        <w:rPr>
          <w:rFonts w:asciiTheme="majorHAnsi" w:hAnsiTheme="majorHAnsi" w:cstheme="minorBidi"/>
          <w:color w:val="000000"/>
        </w:rPr>
        <w:t>General Fund</w:t>
      </w:r>
      <w:r w:rsidR="00A81F66">
        <w:rPr>
          <w:rFonts w:asciiTheme="majorHAnsi" w:hAnsiTheme="majorHAnsi" w:cstheme="minorBidi"/>
          <w:color w:val="000000"/>
        </w:rPr>
        <w:t xml:space="preserve"> </w:t>
      </w:r>
      <w:r w:rsidR="003C7A62" w:rsidRPr="003224A9">
        <w:rPr>
          <w:rFonts w:asciiTheme="majorHAnsi" w:hAnsiTheme="majorHAnsi" w:cstheme="minorBidi"/>
          <w:color w:val="000000"/>
        </w:rPr>
        <w:t xml:space="preserve">made up of staff </w:t>
      </w:r>
      <w:r w:rsidR="00893E60">
        <w:rPr>
          <w:rFonts w:asciiTheme="majorHAnsi" w:hAnsiTheme="majorHAnsi" w:cstheme="minorBidi"/>
          <w:color w:val="000000"/>
        </w:rPr>
        <w:t>salary</w:t>
      </w:r>
      <w:r w:rsidRPr="003224A9">
        <w:rPr>
          <w:rFonts w:asciiTheme="majorHAnsi" w:hAnsiTheme="majorHAnsi" w:cstheme="minorBidi"/>
          <w:color w:val="000000"/>
        </w:rPr>
        <w:t xml:space="preserve"> </w:t>
      </w:r>
      <w:r w:rsidR="00893E60">
        <w:rPr>
          <w:rFonts w:asciiTheme="majorHAnsi" w:hAnsiTheme="majorHAnsi" w:cstheme="minorBidi"/>
          <w:color w:val="000000"/>
        </w:rPr>
        <w:t>and benefit costs</w:t>
      </w:r>
      <w:r w:rsidR="003C7A62" w:rsidRPr="003224A9">
        <w:rPr>
          <w:rFonts w:asciiTheme="majorHAnsi" w:hAnsiTheme="majorHAnsi" w:cstheme="minorBidi"/>
          <w:color w:val="000000"/>
        </w:rPr>
        <w:t>.</w:t>
      </w:r>
    </w:p>
    <w:sectPr w:rsidR="003C7A62" w:rsidRPr="003224A9" w:rsidSect="00ED5D64">
      <w:headerReference w:type="default" r:id="rId12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787" w:rsidRDefault="00E57787" w:rsidP="00ED5D64">
      <w:pPr>
        <w:spacing w:after="0" w:line="240" w:lineRule="auto"/>
      </w:pPr>
      <w:r>
        <w:separator/>
      </w:r>
    </w:p>
  </w:endnote>
  <w:endnote w:type="continuationSeparator" w:id="0">
    <w:p w:rsidR="00E57787" w:rsidRDefault="00E57787" w:rsidP="00ED5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43" w:rsidRPr="00CF2E43" w:rsidRDefault="00CF2E43" w:rsidP="00CF2E43">
    <w:pPr>
      <w:pStyle w:val="Footer"/>
      <w:jc w:val="center"/>
    </w:pPr>
    <w:r w:rsidRPr="00ED5D64">
      <w:rPr>
        <w:sz w:val="18"/>
        <w:szCs w:val="18"/>
      </w:rPr>
      <w:t>ISFIS, 1201 63</w:t>
    </w:r>
    <w:r w:rsidRPr="00ED5D64">
      <w:rPr>
        <w:sz w:val="18"/>
        <w:szCs w:val="18"/>
        <w:vertAlign w:val="superscript"/>
      </w:rPr>
      <w:t>rd</w:t>
    </w:r>
    <w:r w:rsidRPr="00ED5D64">
      <w:rPr>
        <w:sz w:val="18"/>
        <w:szCs w:val="18"/>
      </w:rPr>
      <w:t xml:space="preserve"> Street, Des Moines, Iowa, 50311, (515) 251-5970</w:t>
    </w:r>
    <w:r>
      <w:rPr>
        <w:sz w:val="18"/>
        <w:szCs w:val="18"/>
      </w:rPr>
      <w:t xml:space="preserve">, </w:t>
    </w:r>
    <w:hyperlink r:id="rId1" w:history="1">
      <w:r w:rsidRPr="0093039D">
        <w:rPr>
          <w:rStyle w:val="Hyperlink"/>
          <w:sz w:val="18"/>
          <w:szCs w:val="18"/>
        </w:rPr>
        <w:t>www.IowaSchoolFinance.com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43" w:rsidRDefault="00CF2E43" w:rsidP="00CF2E43">
    <w:pPr>
      <w:pStyle w:val="Footer"/>
      <w:jc w:val="center"/>
    </w:pPr>
    <w:r w:rsidRPr="00ED5D64">
      <w:rPr>
        <w:sz w:val="18"/>
        <w:szCs w:val="18"/>
      </w:rPr>
      <w:t>ISFIS, 1201 63</w:t>
    </w:r>
    <w:r w:rsidRPr="00ED5D64">
      <w:rPr>
        <w:sz w:val="18"/>
        <w:szCs w:val="18"/>
        <w:vertAlign w:val="superscript"/>
      </w:rPr>
      <w:t>rd</w:t>
    </w:r>
    <w:r w:rsidRPr="00ED5D64">
      <w:rPr>
        <w:sz w:val="18"/>
        <w:szCs w:val="18"/>
      </w:rPr>
      <w:t xml:space="preserve"> Street, Des Moines, Iowa, 50311, (515) 251-5970</w:t>
    </w:r>
    <w:r>
      <w:rPr>
        <w:sz w:val="18"/>
        <w:szCs w:val="18"/>
      </w:rPr>
      <w:t xml:space="preserve">, </w:t>
    </w:r>
    <w:hyperlink r:id="rId1" w:history="1">
      <w:r w:rsidRPr="0093039D">
        <w:rPr>
          <w:rStyle w:val="Hyperlink"/>
          <w:sz w:val="18"/>
          <w:szCs w:val="18"/>
        </w:rPr>
        <w:t>www.IowaSchoolFinance.com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787" w:rsidRDefault="00E57787" w:rsidP="00ED5D64">
      <w:pPr>
        <w:spacing w:after="0" w:line="240" w:lineRule="auto"/>
      </w:pPr>
      <w:r>
        <w:separator/>
      </w:r>
    </w:p>
  </w:footnote>
  <w:footnote w:type="continuationSeparator" w:id="0">
    <w:p w:rsidR="00E57787" w:rsidRDefault="00E57787" w:rsidP="00ED5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D64" w:rsidRDefault="00ED5D64" w:rsidP="00233B07">
    <w:pPr>
      <w:pStyle w:val="Header"/>
    </w:pPr>
  </w:p>
  <w:p w:rsidR="00233B07" w:rsidRPr="00233B07" w:rsidRDefault="00233B07" w:rsidP="00233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E43" w:rsidRDefault="00CF2E43">
    <w:pPr>
      <w:pStyle w:val="Header"/>
    </w:pPr>
    <w:r>
      <w:rPr>
        <w:rFonts w:asciiTheme="majorHAnsi" w:eastAsia="Times New Roman" w:hAnsiTheme="majorHAnsi" w:cs="Times New Roman"/>
        <w:b/>
        <w:bCs/>
        <w:noProof/>
        <w:color w:val="000000"/>
        <w:sz w:val="36"/>
      </w:rPr>
      <w:drawing>
        <wp:anchor distT="0" distB="0" distL="114300" distR="114300" simplePos="0" relativeHeight="251665408" behindDoc="1" locked="0" layoutInCell="1" allowOverlap="1" wp14:anchorId="108B45D8" wp14:editId="4A033A9F">
          <wp:simplePos x="0" y="0"/>
          <wp:positionH relativeFrom="column">
            <wp:posOffset>3684270</wp:posOffset>
          </wp:positionH>
          <wp:positionV relativeFrom="paragraph">
            <wp:posOffset>0</wp:posOffset>
          </wp:positionV>
          <wp:extent cx="2463800" cy="1139190"/>
          <wp:effectExtent l="0" t="0" r="0" b="3810"/>
          <wp:wrapTight wrapText="bothSides">
            <wp:wrapPolygon edited="0">
              <wp:start x="0" y="0"/>
              <wp:lineTo x="0" y="21311"/>
              <wp:lineTo x="21377" y="21311"/>
              <wp:lineTo x="2137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l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24" t="25405" r="21802" b="18579"/>
                  <a:stretch/>
                </pic:blipFill>
                <pic:spPr bwMode="auto">
                  <a:xfrm>
                    <a:off x="0" y="0"/>
                    <a:ext cx="2463800" cy="1139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D64" w:rsidRDefault="00ED5D64">
    <w:pPr>
      <w:pStyle w:val="Header"/>
    </w:pPr>
    <w:r>
      <w:rPr>
        <w:rFonts w:asciiTheme="majorHAnsi" w:eastAsia="Times New Roman" w:hAnsiTheme="majorHAnsi" w:cs="Times New Roman"/>
        <w:b/>
        <w:bCs/>
        <w:noProof/>
        <w:color w:val="000000"/>
        <w:sz w:val="36"/>
      </w:rPr>
      <w:drawing>
        <wp:anchor distT="0" distB="0" distL="114300" distR="114300" simplePos="0" relativeHeight="251661312" behindDoc="1" locked="0" layoutInCell="1" allowOverlap="1" wp14:anchorId="3B4DD5BF" wp14:editId="340DE338">
          <wp:simplePos x="0" y="0"/>
          <wp:positionH relativeFrom="column">
            <wp:posOffset>4065270</wp:posOffset>
          </wp:positionH>
          <wp:positionV relativeFrom="paragraph">
            <wp:posOffset>-278130</wp:posOffset>
          </wp:positionV>
          <wp:extent cx="2463800" cy="1360170"/>
          <wp:effectExtent l="0" t="0" r="0" b="0"/>
          <wp:wrapTight wrapText="bothSides">
            <wp:wrapPolygon edited="0">
              <wp:start x="0" y="0"/>
              <wp:lineTo x="0" y="21176"/>
              <wp:lineTo x="21377" y="21176"/>
              <wp:lineTo x="2137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nal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24" t="14539" r="21802" b="18579"/>
                  <a:stretch/>
                </pic:blipFill>
                <pic:spPr bwMode="auto">
                  <a:xfrm>
                    <a:off x="0" y="0"/>
                    <a:ext cx="2463800" cy="1360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57460"/>
    <w:multiLevelType w:val="hybridMultilevel"/>
    <w:tmpl w:val="6ACA2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AxM7c0MTAyMjAzNzFQ0lEKTi0uzszPAykwrAUA7Axk9SwAAAA="/>
  </w:docVars>
  <w:rsids>
    <w:rsidRoot w:val="003C7A62"/>
    <w:rsid w:val="00056F4C"/>
    <w:rsid w:val="0009474E"/>
    <w:rsid w:val="00110557"/>
    <w:rsid w:val="00165E8E"/>
    <w:rsid w:val="00194E82"/>
    <w:rsid w:val="001972E9"/>
    <w:rsid w:val="001E3DF4"/>
    <w:rsid w:val="002204F3"/>
    <w:rsid w:val="00233B07"/>
    <w:rsid w:val="0023744D"/>
    <w:rsid w:val="00267947"/>
    <w:rsid w:val="002761A6"/>
    <w:rsid w:val="002B61AB"/>
    <w:rsid w:val="00314C74"/>
    <w:rsid w:val="003224A9"/>
    <w:rsid w:val="00332C1A"/>
    <w:rsid w:val="00334825"/>
    <w:rsid w:val="00360A41"/>
    <w:rsid w:val="00375A47"/>
    <w:rsid w:val="003C7A62"/>
    <w:rsid w:val="003E53DD"/>
    <w:rsid w:val="00453D53"/>
    <w:rsid w:val="00485F96"/>
    <w:rsid w:val="004B2CF3"/>
    <w:rsid w:val="004E5CF8"/>
    <w:rsid w:val="00522D30"/>
    <w:rsid w:val="005339BA"/>
    <w:rsid w:val="00540215"/>
    <w:rsid w:val="005513CD"/>
    <w:rsid w:val="0055478F"/>
    <w:rsid w:val="00564F68"/>
    <w:rsid w:val="005B0BCA"/>
    <w:rsid w:val="005C385F"/>
    <w:rsid w:val="005C691C"/>
    <w:rsid w:val="00623672"/>
    <w:rsid w:val="00643E6C"/>
    <w:rsid w:val="00646370"/>
    <w:rsid w:val="006A4E8B"/>
    <w:rsid w:val="00805960"/>
    <w:rsid w:val="00893E60"/>
    <w:rsid w:val="008A4284"/>
    <w:rsid w:val="008B34CE"/>
    <w:rsid w:val="008D4BAA"/>
    <w:rsid w:val="009308BA"/>
    <w:rsid w:val="00982E36"/>
    <w:rsid w:val="009A4A0E"/>
    <w:rsid w:val="009B6C73"/>
    <w:rsid w:val="009C1B3A"/>
    <w:rsid w:val="009D7BB7"/>
    <w:rsid w:val="009F47DB"/>
    <w:rsid w:val="00A06C0C"/>
    <w:rsid w:val="00A14D6D"/>
    <w:rsid w:val="00A81F66"/>
    <w:rsid w:val="00A84F2F"/>
    <w:rsid w:val="00AC50E4"/>
    <w:rsid w:val="00AE2545"/>
    <w:rsid w:val="00C10A19"/>
    <w:rsid w:val="00C23597"/>
    <w:rsid w:val="00C46284"/>
    <w:rsid w:val="00C83D99"/>
    <w:rsid w:val="00CF2E43"/>
    <w:rsid w:val="00D6390A"/>
    <w:rsid w:val="00D723D7"/>
    <w:rsid w:val="00DC2854"/>
    <w:rsid w:val="00DD6E2A"/>
    <w:rsid w:val="00E57787"/>
    <w:rsid w:val="00E83CC7"/>
    <w:rsid w:val="00EB5454"/>
    <w:rsid w:val="00ED5D64"/>
    <w:rsid w:val="00F77FD8"/>
    <w:rsid w:val="00F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9809"/>
  <w15:docId w15:val="{2CCC6F3F-6524-4A46-AC83-4AA2EC9B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C7A6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C7A6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C7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7A62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C7A62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28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D64"/>
  </w:style>
  <w:style w:type="paragraph" w:styleId="Footer">
    <w:name w:val="footer"/>
    <w:basedOn w:val="Normal"/>
    <w:link w:val="FooterChar"/>
    <w:uiPriority w:val="99"/>
    <w:unhideWhenUsed/>
    <w:rsid w:val="00ED5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D64"/>
  </w:style>
  <w:style w:type="character" w:styleId="Hyperlink">
    <w:name w:val="Hyperlink"/>
    <w:basedOn w:val="DefaultParagraphFont"/>
    <w:uiPriority w:val="99"/>
    <w:unhideWhenUsed/>
    <w:rsid w:val="00CF2E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owaSchoolFinance.com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waSchoolFinance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owaSchoolFinanc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Jen</cp:lastModifiedBy>
  <cp:revision>16</cp:revision>
  <cp:lastPrinted>2011-10-11T15:55:00Z</cp:lastPrinted>
  <dcterms:created xsi:type="dcterms:W3CDTF">2022-06-23T14:21:00Z</dcterms:created>
  <dcterms:modified xsi:type="dcterms:W3CDTF">2022-06-23T15:02:00Z</dcterms:modified>
</cp:coreProperties>
</file>